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Pr="00C706D3" w:rsidRDefault="00005C8B">
            <w:pPr>
              <w:jc w:val="both"/>
              <w:rPr>
                <w:rFonts w:ascii="Arial" w:hAnsi="Arial"/>
                <w:b/>
                <w:bCs/>
                <w:sz w:val="26"/>
                <w:szCs w:val="26"/>
              </w:rPr>
            </w:pPr>
            <w:r w:rsidRPr="00C706D3">
              <w:rPr>
                <w:rFonts w:ascii="Arial" w:hAnsi="Arial" w:hint="cs"/>
                <w:b/>
                <w:bCs/>
                <w:sz w:val="26"/>
                <w:szCs w:val="26"/>
                <w:rtl/>
              </w:rPr>
              <w:t>ב</w:t>
            </w:r>
            <w:r w:rsidRPr="00C706D3">
              <w:rPr>
                <w:rFonts w:ascii="Arial" w:hAnsi="Arial"/>
                <w:b/>
                <w:bCs/>
                <w:sz w:val="26"/>
                <w:szCs w:val="26"/>
                <w:rtl/>
              </w:rPr>
              <w:t xml:space="preserve">פני </w:t>
            </w:r>
          </w:p>
        </w:tc>
        <w:tc>
          <w:tcPr>
            <w:tcW w:w="8077" w:type="dxa"/>
            <w:gridSpan w:val="2"/>
          </w:tcPr>
          <w:p w:rsidR="00694556" w:rsidRPr="00C706D3" w:rsidRDefault="002E0BE1" w:rsidP="00347EF1">
            <w:pPr>
              <w:rPr>
                <w:rFonts w:ascii="Arial" w:hAnsi="Arial"/>
                <w:b/>
                <w:bCs/>
                <w:sz w:val="26"/>
                <w:szCs w:val="26"/>
              </w:rPr>
            </w:pPr>
            <w:r w:rsidRPr="00C706D3">
              <w:rPr>
                <w:rFonts w:ascii="Arial" w:hAnsi="Arial" w:hint="cs"/>
                <w:b/>
                <w:bCs/>
                <w:sz w:val="26"/>
                <w:szCs w:val="26"/>
                <w:rtl/>
              </w:rPr>
              <w:t>כב' השופטת שושנה ברגר,</w:t>
            </w:r>
            <w:r w:rsidR="00347EF1" w:rsidRPr="00C706D3">
              <w:rPr>
                <w:rFonts w:ascii="Arial" w:hAnsi="Arial" w:hint="cs"/>
                <w:b/>
                <w:bCs/>
                <w:sz w:val="26"/>
                <w:szCs w:val="26"/>
                <w:rtl/>
              </w:rPr>
              <w:t xml:space="preserve"> שופטת בכירה</w:t>
            </w:r>
          </w:p>
        </w:tc>
      </w:tr>
      <w:tr w:rsidR="00694556">
        <w:trPr>
          <w:jc w:val="center"/>
        </w:trPr>
        <w:tc>
          <w:tcPr>
            <w:tcW w:w="3249" w:type="dxa"/>
            <w:gridSpan w:val="2"/>
          </w:tcPr>
          <w:p w:rsidR="00694556" w:rsidRPr="00C706D3" w:rsidRDefault="00694556">
            <w:pPr>
              <w:bidi w:val="0"/>
              <w:jc w:val="right"/>
              <w:rPr>
                <w:rFonts w:ascii="Arial" w:hAnsi="Arial"/>
                <w:b/>
                <w:bCs/>
                <w:noProof w:val="0"/>
                <w:sz w:val="26"/>
                <w:szCs w:val="26"/>
              </w:rPr>
            </w:pPr>
          </w:p>
          <w:sdt>
            <w:sdtPr>
              <w:rPr>
                <w:b/>
                <w:bCs/>
                <w:sz w:val="26"/>
                <w:szCs w:val="26"/>
              </w:rPr>
              <w:alias w:val="1180"/>
              <w:tag w:val="1180"/>
              <w:id w:val="-2135247219"/>
              <w:text w:multiLine="1"/>
            </w:sdtPr>
            <w:sdtEndPr/>
            <w:sdtContent>
              <w:p w:rsidR="000D6318" w:rsidRPr="00C706D3" w:rsidRDefault="00A02BEE" w:rsidP="00A02BEE">
                <w:pPr>
                  <w:bidi w:val="0"/>
                  <w:jc w:val="right"/>
                  <w:rPr>
                    <w:rFonts w:ascii="Arial" w:hAnsi="Arial"/>
                    <w:b/>
                    <w:bCs/>
                    <w:noProof w:val="0"/>
                    <w:sz w:val="26"/>
                    <w:szCs w:val="26"/>
                    <w:rtl/>
                  </w:rPr>
                </w:pPr>
                <w:r w:rsidRPr="00C706D3">
                  <w:rPr>
                    <w:rFonts w:ascii="Arial" w:hAnsi="Arial" w:hint="cs"/>
                    <w:b/>
                    <w:bCs/>
                    <w:noProof w:val="0"/>
                    <w:sz w:val="26"/>
                    <w:szCs w:val="26"/>
                    <w:rtl/>
                  </w:rPr>
                  <w:t>ה</w:t>
                </w:r>
                <w:r w:rsidR="00077B5C" w:rsidRPr="00C706D3">
                  <w:rPr>
                    <w:rFonts w:ascii="Arial" w:hAnsi="Arial"/>
                    <w:b/>
                    <w:bCs/>
                    <w:noProof w:val="0"/>
                    <w:sz w:val="26"/>
                    <w:szCs w:val="26"/>
                    <w:rtl/>
                  </w:rPr>
                  <w:t>תובע</w:t>
                </w:r>
                <w:r w:rsidRPr="00C706D3">
                  <w:rPr>
                    <w:rFonts w:ascii="Arial" w:hAnsi="Arial" w:hint="cs"/>
                    <w:b/>
                    <w:bCs/>
                    <w:noProof w:val="0"/>
                    <w:sz w:val="26"/>
                    <w:szCs w:val="26"/>
                    <w:rtl/>
                  </w:rPr>
                  <w:t>ות:</w:t>
                </w:r>
              </w:p>
            </w:sdtContent>
          </w:sdt>
        </w:tc>
        <w:tc>
          <w:tcPr>
            <w:tcW w:w="5571" w:type="dxa"/>
          </w:tcPr>
          <w:p w:rsidR="00694556" w:rsidRPr="00C706D3" w:rsidRDefault="00694556">
            <w:pPr>
              <w:rPr>
                <w:rFonts w:ascii="Arial" w:hAnsi="Arial"/>
                <w:b/>
                <w:bCs/>
                <w:noProof w:val="0"/>
                <w:sz w:val="26"/>
                <w:szCs w:val="26"/>
                <w:rtl/>
              </w:rPr>
            </w:pPr>
          </w:p>
          <w:p w:rsidR="00417775" w:rsidRPr="00C706D3" w:rsidRDefault="00E051A4" w:rsidP="00C706D3">
            <w:pPr>
              <w:suppressLineNumbers/>
              <w:rPr>
                <w:b/>
                <w:bCs/>
                <w:sz w:val="26"/>
                <w:szCs w:val="26"/>
              </w:rPr>
            </w:pPr>
            <w:sdt>
              <w:sdtPr>
                <w:rPr>
                  <w:rFonts w:ascii="Arial" w:hAnsi="Arial" w:hint="cs"/>
                  <w:b/>
                  <w:bCs/>
                  <w:noProof w:val="0"/>
                  <w:sz w:val="26"/>
                  <w:szCs w:val="26"/>
                  <w:rtl/>
                </w:rPr>
                <w:alias w:val="1462"/>
                <w:tag w:val="1462"/>
                <w:id w:val="-2139489462"/>
                <w:text w:multiLine="1"/>
              </w:sdtPr>
              <w:sdtEndPr/>
              <w:sdtContent>
                <w:r w:rsidR="00227F7A" w:rsidRPr="00C706D3">
                  <w:rPr>
                    <w:rFonts w:ascii="Arial" w:hAnsi="Arial" w:hint="cs"/>
                    <w:b/>
                    <w:bCs/>
                    <w:noProof w:val="0"/>
                    <w:sz w:val="26"/>
                    <w:szCs w:val="26"/>
                    <w:rtl/>
                  </w:rPr>
                  <w:t>1</w:t>
                </w:r>
              </w:sdtContent>
            </w:sdt>
            <w:r w:rsidR="00417775" w:rsidRPr="00C706D3">
              <w:rPr>
                <w:rFonts w:ascii="Arial" w:hAnsi="Arial" w:hint="cs"/>
                <w:b/>
                <w:bCs/>
                <w:noProof w:val="0"/>
                <w:sz w:val="26"/>
                <w:szCs w:val="26"/>
                <w:rtl/>
              </w:rPr>
              <w:t xml:space="preserve">. </w:t>
            </w:r>
            <w:sdt>
              <w:sdtPr>
                <w:rPr>
                  <w:rFonts w:ascii="David" w:hAnsi="David" w:hint="cs"/>
                  <w:b/>
                  <w:bCs/>
                  <w:sz w:val="26"/>
                  <w:szCs w:val="26"/>
                  <w:rtl/>
                </w:rPr>
                <w:alias w:val="1478"/>
                <w:tag w:val="1478"/>
                <w:id w:val="-2076122985"/>
                <w:text w:multiLine="1"/>
              </w:sdtPr>
              <w:sdtEndPr/>
              <w:sdtContent>
                <w:r w:rsidR="005E7BE7" w:rsidRPr="00C706D3">
                  <w:rPr>
                    <w:rFonts w:ascii="David" w:hAnsi="David"/>
                    <w:b/>
                    <w:bCs/>
                    <w:sz w:val="26"/>
                    <w:szCs w:val="26"/>
                  </w:rPr>
                  <w:t>XXX</w:t>
                </w:r>
                <w:r w:rsidR="005E7BE7" w:rsidRPr="00C706D3">
                  <w:rPr>
                    <w:rFonts w:ascii="David" w:hAnsi="David" w:hint="cs"/>
                    <w:b/>
                    <w:bCs/>
                    <w:sz w:val="26"/>
                    <w:szCs w:val="26"/>
                    <w:rtl/>
                  </w:rPr>
                  <w:t xml:space="preserve"> ת.ז.</w:t>
                </w:r>
              </w:sdtContent>
            </w:sdt>
            <w:r w:rsidR="00A02BEE" w:rsidRPr="00C706D3">
              <w:rPr>
                <w:rFonts w:ascii="Arial" w:hAnsi="Arial" w:hint="cs"/>
                <w:b/>
                <w:bCs/>
                <w:noProof w:val="0"/>
                <w:sz w:val="26"/>
                <w:szCs w:val="26"/>
                <w:rtl/>
              </w:rPr>
              <w:t xml:space="preserve"> </w:t>
            </w:r>
            <w:r w:rsidR="005E7BE7" w:rsidRPr="00C706D3">
              <w:rPr>
                <w:rFonts w:ascii="David" w:hAnsi="David" w:hint="cs"/>
                <w:b/>
                <w:bCs/>
                <w:sz w:val="26"/>
                <w:szCs w:val="26"/>
              </w:rPr>
              <w:t>XXX</w:t>
            </w:r>
          </w:p>
          <w:p w:rsidR="00A02BEE" w:rsidRPr="00C706D3" w:rsidRDefault="00E051A4" w:rsidP="00C706D3">
            <w:pPr>
              <w:suppressLineNumbers/>
              <w:rPr>
                <w:rFonts w:ascii="Arial" w:hAnsi="Arial"/>
                <w:b/>
                <w:bCs/>
                <w:noProof w:val="0"/>
                <w:sz w:val="26"/>
                <w:szCs w:val="26"/>
                <w:rtl/>
              </w:rPr>
            </w:pPr>
            <w:sdt>
              <w:sdtPr>
                <w:rPr>
                  <w:rFonts w:ascii="Arial" w:hAnsi="Arial" w:hint="cs"/>
                  <w:b/>
                  <w:bCs/>
                  <w:noProof w:val="0"/>
                  <w:sz w:val="26"/>
                  <w:szCs w:val="26"/>
                  <w:rtl/>
                </w:rPr>
                <w:alias w:val="1462"/>
                <w:tag w:val="1462"/>
                <w:id w:val="-1645344157"/>
                <w:text w:multiLine="1"/>
              </w:sdtPr>
              <w:sdtEndPr/>
              <w:sdtContent>
                <w:r w:rsidR="00227F7A" w:rsidRPr="00C706D3">
                  <w:rPr>
                    <w:rFonts w:ascii="Arial" w:hAnsi="Arial" w:hint="cs"/>
                    <w:b/>
                    <w:bCs/>
                    <w:noProof w:val="0"/>
                    <w:sz w:val="26"/>
                    <w:szCs w:val="26"/>
                    <w:rtl/>
                  </w:rPr>
                  <w:t>2</w:t>
                </w:r>
              </w:sdtContent>
            </w:sdt>
            <w:r w:rsidR="00417775" w:rsidRPr="00C706D3">
              <w:rPr>
                <w:rFonts w:ascii="Arial" w:hAnsi="Arial" w:hint="cs"/>
                <w:b/>
                <w:bCs/>
                <w:noProof w:val="0"/>
                <w:sz w:val="26"/>
                <w:szCs w:val="26"/>
                <w:rtl/>
              </w:rPr>
              <w:t xml:space="preserve">. </w:t>
            </w:r>
            <w:sdt>
              <w:sdtPr>
                <w:rPr>
                  <w:rFonts w:ascii="David" w:hAnsi="David" w:hint="cs"/>
                  <w:b/>
                  <w:bCs/>
                  <w:sz w:val="26"/>
                  <w:szCs w:val="26"/>
                  <w:rtl/>
                </w:rPr>
                <w:alias w:val="1478"/>
                <w:tag w:val="1478"/>
                <w:id w:val="199674835"/>
                <w:text w:multiLine="1"/>
              </w:sdtPr>
              <w:sdtEndPr/>
              <w:sdtContent>
                <w:r w:rsidR="005E7BE7" w:rsidRPr="00C706D3">
                  <w:rPr>
                    <w:rFonts w:ascii="David" w:hAnsi="David"/>
                    <w:b/>
                    <w:bCs/>
                    <w:sz w:val="26"/>
                    <w:szCs w:val="26"/>
                  </w:rPr>
                  <w:t>XXX</w:t>
                </w:r>
                <w:r w:rsidR="005E7BE7" w:rsidRPr="00C706D3">
                  <w:rPr>
                    <w:rFonts w:ascii="David" w:hAnsi="David" w:hint="cs"/>
                    <w:b/>
                    <w:bCs/>
                    <w:sz w:val="26"/>
                    <w:szCs w:val="26"/>
                    <w:rtl/>
                  </w:rPr>
                  <w:t xml:space="preserve"> </w:t>
                </w:r>
              </w:sdtContent>
            </w:sdt>
            <w:r w:rsidR="00417775" w:rsidRPr="00C706D3">
              <w:rPr>
                <w:rFonts w:ascii="Arial" w:hAnsi="Arial" w:hint="cs"/>
                <w:b/>
                <w:bCs/>
                <w:noProof w:val="0"/>
                <w:sz w:val="26"/>
                <w:szCs w:val="26"/>
                <w:rtl/>
              </w:rPr>
              <w:t xml:space="preserve"> </w:t>
            </w:r>
            <w:r w:rsidR="00A02BEE" w:rsidRPr="00C706D3">
              <w:rPr>
                <w:rFonts w:ascii="Arial" w:hAnsi="Arial" w:hint="cs"/>
                <w:b/>
                <w:bCs/>
                <w:noProof w:val="0"/>
                <w:sz w:val="26"/>
                <w:szCs w:val="26"/>
                <w:rtl/>
              </w:rPr>
              <w:t xml:space="preserve">ת.ז. </w:t>
            </w:r>
            <w:r w:rsidR="005E7BE7" w:rsidRPr="00C706D3">
              <w:rPr>
                <w:rFonts w:ascii="David" w:hAnsi="David" w:hint="cs"/>
                <w:b/>
                <w:bCs/>
                <w:sz w:val="26"/>
                <w:szCs w:val="26"/>
              </w:rPr>
              <w:t>XXX</w:t>
            </w:r>
          </w:p>
          <w:p w:rsidR="00417775" w:rsidRPr="00C706D3" w:rsidRDefault="00A02BEE" w:rsidP="00A02BEE">
            <w:pPr>
              <w:suppressLineNumbers/>
              <w:rPr>
                <w:b/>
                <w:bCs/>
                <w:sz w:val="26"/>
                <w:szCs w:val="26"/>
              </w:rPr>
            </w:pPr>
            <w:r w:rsidRPr="00C706D3">
              <w:rPr>
                <w:rFonts w:ascii="Arial" w:hAnsi="Arial" w:hint="cs"/>
                <w:b/>
                <w:bCs/>
                <w:noProof w:val="0"/>
                <w:sz w:val="26"/>
                <w:szCs w:val="26"/>
                <w:rtl/>
              </w:rPr>
              <w:t>ע"י ב"כ עו"ד פאדיה אנדראוד-עווד</w:t>
            </w:r>
            <w:r w:rsidR="00417775" w:rsidRPr="00C706D3">
              <w:rPr>
                <w:rFonts w:ascii="Arial" w:hAnsi="Arial" w:hint="cs"/>
                <w:b/>
                <w:bCs/>
                <w:noProof w:val="0"/>
                <w:sz w:val="26"/>
                <w:szCs w:val="26"/>
                <w:rtl/>
              </w:rPr>
              <w:t xml:space="preserve"> </w:t>
            </w:r>
          </w:p>
        </w:tc>
      </w:tr>
      <w:tr w:rsidR="00694556">
        <w:trPr>
          <w:jc w:val="center"/>
        </w:trPr>
        <w:tc>
          <w:tcPr>
            <w:tcW w:w="8820" w:type="dxa"/>
            <w:gridSpan w:val="3"/>
          </w:tcPr>
          <w:p w:rsidR="00694556" w:rsidRPr="00C706D3" w:rsidRDefault="00694556">
            <w:pPr>
              <w:rPr>
                <w:rFonts w:ascii="Arial" w:hAnsi="Arial"/>
                <w:b/>
                <w:bCs/>
                <w:noProof w:val="0"/>
                <w:sz w:val="26"/>
                <w:szCs w:val="26"/>
                <w:rtl/>
              </w:rPr>
            </w:pPr>
          </w:p>
          <w:p w:rsidR="00694556" w:rsidRPr="00C706D3" w:rsidRDefault="00005C8B" w:rsidP="00A02BEE">
            <w:pPr>
              <w:jc w:val="center"/>
              <w:rPr>
                <w:rFonts w:ascii="Arial" w:hAnsi="Arial"/>
                <w:b/>
                <w:bCs/>
                <w:noProof w:val="0"/>
                <w:sz w:val="26"/>
                <w:szCs w:val="26"/>
              </w:rPr>
            </w:pPr>
            <w:r w:rsidRPr="00C706D3">
              <w:rPr>
                <w:rFonts w:ascii="Arial" w:hAnsi="Arial"/>
                <w:b/>
                <w:bCs/>
                <w:noProof w:val="0"/>
                <w:sz w:val="26"/>
                <w:szCs w:val="26"/>
                <w:rtl/>
              </w:rPr>
              <w:t>נגד</w:t>
            </w:r>
          </w:p>
        </w:tc>
      </w:tr>
      <w:tr w:rsidR="00694556">
        <w:trPr>
          <w:jc w:val="center"/>
        </w:trPr>
        <w:tc>
          <w:tcPr>
            <w:tcW w:w="3249" w:type="dxa"/>
            <w:gridSpan w:val="2"/>
          </w:tcPr>
          <w:p w:rsidR="00694556" w:rsidRPr="00C706D3" w:rsidRDefault="00694556">
            <w:pPr>
              <w:rPr>
                <w:rFonts w:ascii="Arial" w:hAnsi="Arial"/>
                <w:b/>
                <w:bCs/>
                <w:noProof w:val="0"/>
                <w:sz w:val="26"/>
                <w:szCs w:val="26"/>
                <w:rtl/>
              </w:rPr>
            </w:pPr>
          </w:p>
          <w:p w:rsidR="00694556" w:rsidRPr="00C706D3" w:rsidRDefault="00E051A4" w:rsidP="00A02BEE">
            <w:pPr>
              <w:rPr>
                <w:rFonts w:ascii="Arial" w:hAnsi="Arial"/>
                <w:b/>
                <w:bCs/>
                <w:noProof w:val="0"/>
                <w:sz w:val="26"/>
                <w:szCs w:val="26"/>
              </w:rPr>
            </w:pPr>
            <w:sdt>
              <w:sdtPr>
                <w:rPr>
                  <w:b/>
                  <w:bCs/>
                  <w:sz w:val="26"/>
                  <w:szCs w:val="26"/>
                  <w:rtl/>
                </w:rPr>
                <w:alias w:val="1184"/>
                <w:tag w:val="1184"/>
                <w:id w:val="-115141045"/>
                <w:text w:multiLine="1"/>
              </w:sdtPr>
              <w:sdtEndPr/>
              <w:sdtContent>
                <w:r w:rsidR="00A02BEE" w:rsidRPr="00C706D3">
                  <w:rPr>
                    <w:rFonts w:ascii="Arial" w:hAnsi="Arial" w:hint="cs"/>
                    <w:b/>
                    <w:bCs/>
                    <w:noProof w:val="0"/>
                    <w:sz w:val="26"/>
                    <w:szCs w:val="26"/>
                    <w:rtl/>
                  </w:rPr>
                  <w:t>ה</w:t>
                </w:r>
                <w:r w:rsidR="00227F7A" w:rsidRPr="00C706D3">
                  <w:rPr>
                    <w:rFonts w:ascii="Arial" w:hAnsi="Arial"/>
                    <w:b/>
                    <w:bCs/>
                    <w:noProof w:val="0"/>
                    <w:sz w:val="26"/>
                    <w:szCs w:val="26"/>
                    <w:rtl/>
                  </w:rPr>
                  <w:t>נתבע</w:t>
                </w:r>
                <w:r w:rsidR="00A02BEE" w:rsidRPr="00C706D3">
                  <w:rPr>
                    <w:rFonts w:ascii="Arial" w:hAnsi="Arial" w:hint="cs"/>
                    <w:b/>
                    <w:bCs/>
                    <w:noProof w:val="0"/>
                    <w:sz w:val="26"/>
                    <w:szCs w:val="26"/>
                    <w:rtl/>
                  </w:rPr>
                  <w:t>:</w:t>
                </w:r>
              </w:sdtContent>
            </w:sdt>
          </w:p>
        </w:tc>
        <w:tc>
          <w:tcPr>
            <w:tcW w:w="5571" w:type="dxa"/>
          </w:tcPr>
          <w:p w:rsidR="00694556" w:rsidRPr="00C706D3" w:rsidRDefault="00694556">
            <w:pPr>
              <w:rPr>
                <w:rFonts w:ascii="Arial" w:hAnsi="Arial"/>
                <w:b/>
                <w:bCs/>
                <w:noProof w:val="0"/>
                <w:sz w:val="26"/>
                <w:szCs w:val="26"/>
                <w:rtl/>
              </w:rPr>
            </w:pPr>
          </w:p>
          <w:p w:rsidR="00A02BEE" w:rsidRPr="00C706D3" w:rsidRDefault="00E051A4" w:rsidP="00C706D3">
            <w:pPr>
              <w:suppressLineNumbers/>
              <w:rPr>
                <w:rFonts w:ascii="Arial" w:hAnsi="Arial"/>
                <w:b/>
                <w:bCs/>
                <w:noProof w:val="0"/>
                <w:sz w:val="26"/>
                <w:szCs w:val="26"/>
                <w:rtl/>
              </w:rPr>
            </w:pPr>
            <w:sdt>
              <w:sdtPr>
                <w:rPr>
                  <w:rFonts w:ascii="David" w:hAnsi="David" w:hint="cs"/>
                  <w:b/>
                  <w:bCs/>
                  <w:sz w:val="26"/>
                  <w:szCs w:val="26"/>
                  <w:rtl/>
                </w:rPr>
                <w:alias w:val="1486"/>
                <w:tag w:val="1486"/>
                <w:id w:val="-309872140"/>
                <w:text w:multiLine="1"/>
              </w:sdtPr>
              <w:sdtEndPr/>
              <w:sdtContent>
                <w:r w:rsidR="005E7BE7" w:rsidRPr="00C706D3">
                  <w:rPr>
                    <w:rFonts w:ascii="David" w:hAnsi="David"/>
                    <w:b/>
                    <w:bCs/>
                    <w:sz w:val="26"/>
                    <w:szCs w:val="26"/>
                  </w:rPr>
                  <w:t>XXX</w:t>
                </w:r>
              </w:sdtContent>
            </w:sdt>
            <w:r w:rsidR="00417775" w:rsidRPr="00C706D3">
              <w:rPr>
                <w:rFonts w:hint="cs"/>
                <w:b/>
                <w:bCs/>
                <w:sz w:val="26"/>
                <w:szCs w:val="26"/>
                <w:rtl/>
              </w:rPr>
              <w:t xml:space="preserve"> </w:t>
            </w:r>
            <w:r w:rsidR="00A02BEE" w:rsidRPr="00C706D3">
              <w:rPr>
                <w:rFonts w:ascii="Arial" w:hAnsi="Arial" w:hint="cs"/>
                <w:b/>
                <w:bCs/>
                <w:noProof w:val="0"/>
                <w:sz w:val="26"/>
                <w:szCs w:val="26"/>
                <w:rtl/>
              </w:rPr>
              <w:t xml:space="preserve">ת.ז. </w:t>
            </w:r>
            <w:r w:rsidR="005E7BE7" w:rsidRPr="00C706D3">
              <w:rPr>
                <w:rFonts w:ascii="David" w:hAnsi="David" w:hint="cs"/>
                <w:b/>
                <w:bCs/>
                <w:sz w:val="26"/>
                <w:szCs w:val="26"/>
              </w:rPr>
              <w:t>XXX</w:t>
            </w:r>
          </w:p>
          <w:p w:rsidR="00694556" w:rsidRPr="00C706D3" w:rsidRDefault="00A02BEE" w:rsidP="00A02BEE">
            <w:pPr>
              <w:suppressLineNumbers/>
              <w:rPr>
                <w:b/>
                <w:bCs/>
                <w:noProof w:val="0"/>
                <w:sz w:val="26"/>
                <w:szCs w:val="26"/>
                <w:rtl/>
              </w:rPr>
            </w:pPr>
            <w:r w:rsidRPr="00C706D3">
              <w:rPr>
                <w:rFonts w:ascii="Arial" w:hAnsi="Arial" w:hint="cs"/>
                <w:b/>
                <w:bCs/>
                <w:noProof w:val="0"/>
                <w:sz w:val="26"/>
                <w:szCs w:val="26"/>
                <w:rtl/>
              </w:rPr>
              <w:t>ע"י ב"כ עו"ד ג'אנם עלא אלדין</w:t>
            </w:r>
          </w:p>
        </w:tc>
      </w:tr>
    </w:tbl>
    <w:p w:rsidR="00694556" w:rsidRDefault="00694556"/>
    <w:p w:rsidR="00694556" w:rsidRDefault="00694556">
      <w:pPr>
        <w:rPr>
          <w:rtl/>
        </w:rPr>
      </w:pPr>
    </w:p>
    <w:p w:rsidR="00C0152C" w:rsidRDefault="00C0152C"/>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A02BEE" w:rsidRDefault="00180519">
            <w:pPr>
              <w:bidi w:val="0"/>
              <w:jc w:val="center"/>
              <w:rPr>
                <w:rFonts w:ascii="Arial" w:hAnsi="Arial"/>
                <w:b/>
                <w:bCs/>
                <w:noProof w:val="0"/>
                <w:sz w:val="30"/>
                <w:szCs w:val="30"/>
                <w:u w:val="single"/>
              </w:rPr>
            </w:pPr>
            <w:r w:rsidRPr="00A02BEE">
              <w:rPr>
                <w:rFonts w:ascii="Arial" w:hAnsi="Arial" w:hint="cs"/>
                <w:b/>
                <w:bCs/>
                <w:noProof w:val="0"/>
                <w:sz w:val="30"/>
                <w:szCs w:val="30"/>
                <w:u w:val="single"/>
                <w:rtl/>
              </w:rPr>
              <w:t>החלטה</w:t>
            </w:r>
          </w:p>
        </w:tc>
      </w:tr>
    </w:tbl>
    <w:p w:rsidR="00694556" w:rsidRDefault="00694556">
      <w:pPr>
        <w:spacing w:line="360" w:lineRule="auto"/>
        <w:jc w:val="both"/>
        <w:rPr>
          <w:rFonts w:ascii="Arial" w:hAnsi="Arial"/>
          <w:noProof w:val="0"/>
          <w:rtl/>
        </w:rPr>
      </w:pPr>
    </w:p>
    <w:p w:rsidR="000814C4" w:rsidRPr="00C0152C" w:rsidRDefault="000814C4" w:rsidP="00C0152C">
      <w:pPr>
        <w:spacing w:line="360" w:lineRule="auto"/>
        <w:ind w:left="-142"/>
        <w:jc w:val="both"/>
        <w:rPr>
          <w:rFonts w:ascii="David" w:hAnsi="David"/>
          <w:b/>
          <w:bCs/>
          <w:noProof w:val="0"/>
          <w:u w:val="single"/>
        </w:rPr>
      </w:pPr>
      <w:r w:rsidRPr="00C0152C">
        <w:rPr>
          <w:rFonts w:ascii="David" w:hAnsi="David"/>
          <w:b/>
          <w:bCs/>
          <w:u w:val="single"/>
          <w:rtl/>
        </w:rPr>
        <w:t>מבוא:</w:t>
      </w:r>
    </w:p>
    <w:p w:rsidR="000814C4" w:rsidRPr="00C0152C" w:rsidRDefault="000814C4" w:rsidP="00C0152C">
      <w:pPr>
        <w:spacing w:line="360" w:lineRule="auto"/>
        <w:ind w:left="-142"/>
        <w:jc w:val="both"/>
        <w:rPr>
          <w:rFonts w:ascii="David" w:hAnsi="David"/>
          <w:rtl/>
        </w:rPr>
      </w:pPr>
      <w:r w:rsidRPr="00C0152C">
        <w:rPr>
          <w:rFonts w:ascii="David" w:hAnsi="David"/>
          <w:rtl/>
        </w:rPr>
        <w:t xml:space="preserve">בפניי בקשה למחיקת התביעה אשר הוגשה על ידי מר </w:t>
      </w:r>
      <w:r w:rsidRPr="00C0152C">
        <w:rPr>
          <w:rFonts w:ascii="David" w:hAnsi="David"/>
        </w:rPr>
        <w:t>XXX</w:t>
      </w:r>
      <w:r w:rsidRPr="00C0152C">
        <w:rPr>
          <w:rFonts w:ascii="David" w:hAnsi="David"/>
          <w:rtl/>
        </w:rPr>
        <w:t xml:space="preserve"> (להלן: "</w:t>
      </w:r>
      <w:r w:rsidRPr="00C0152C">
        <w:rPr>
          <w:rFonts w:ascii="David" w:hAnsi="David"/>
          <w:b/>
          <w:bCs/>
          <w:rtl/>
        </w:rPr>
        <w:t>המבקש</w:t>
      </w:r>
      <w:r w:rsidRPr="00C0152C">
        <w:rPr>
          <w:rFonts w:ascii="David" w:hAnsi="David"/>
          <w:rtl/>
        </w:rPr>
        <w:t xml:space="preserve">") במסגרת ההליך המתנהל בינו לבין הגב' </w:t>
      </w:r>
      <w:r w:rsidRPr="00C0152C">
        <w:rPr>
          <w:rFonts w:ascii="David" w:hAnsi="David"/>
        </w:rPr>
        <w:t>XXX</w:t>
      </w:r>
      <w:r w:rsidRPr="00C0152C">
        <w:rPr>
          <w:rFonts w:ascii="David" w:hAnsi="David"/>
          <w:rtl/>
        </w:rPr>
        <w:t xml:space="preserve"> (להלן: "</w:t>
      </w:r>
      <w:r w:rsidRPr="00C0152C">
        <w:rPr>
          <w:rFonts w:ascii="David" w:hAnsi="David"/>
          <w:b/>
          <w:bCs/>
          <w:rtl/>
        </w:rPr>
        <w:t>פלונית</w:t>
      </w:r>
      <w:r w:rsidRPr="00C0152C">
        <w:rPr>
          <w:rFonts w:ascii="David" w:hAnsi="David"/>
          <w:rtl/>
        </w:rPr>
        <w:t xml:space="preserve">") ובתה הגב' </w:t>
      </w:r>
      <w:r w:rsidRPr="00C0152C">
        <w:rPr>
          <w:rFonts w:ascii="David" w:hAnsi="David"/>
        </w:rPr>
        <w:t>XXX</w:t>
      </w:r>
      <w:r w:rsidRPr="00C0152C">
        <w:rPr>
          <w:rFonts w:ascii="David" w:hAnsi="David"/>
          <w:rtl/>
        </w:rPr>
        <w:t xml:space="preserve"> (להלן: "</w:t>
      </w:r>
      <w:r w:rsidRPr="00C0152C">
        <w:rPr>
          <w:rFonts w:ascii="David" w:hAnsi="David"/>
          <w:b/>
          <w:bCs/>
          <w:rtl/>
        </w:rPr>
        <w:t>המשיבות</w:t>
      </w:r>
      <w:r w:rsidRPr="00C0152C">
        <w:rPr>
          <w:rFonts w:ascii="David" w:hAnsi="David"/>
          <w:rtl/>
        </w:rPr>
        <w:t>").</w:t>
      </w:r>
    </w:p>
    <w:p w:rsidR="000814C4" w:rsidRPr="00C0152C" w:rsidRDefault="000814C4" w:rsidP="00C0152C">
      <w:pPr>
        <w:spacing w:line="360" w:lineRule="auto"/>
        <w:ind w:left="-142"/>
        <w:jc w:val="both"/>
        <w:rPr>
          <w:rFonts w:ascii="David" w:hAnsi="David"/>
          <w:rtl/>
        </w:rPr>
      </w:pP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t>רקע בקצרה והשתלשלות ההליך:</w:t>
      </w:r>
    </w:p>
    <w:p w:rsidR="000814C4" w:rsidRPr="00C0152C" w:rsidRDefault="000814C4" w:rsidP="00C0152C">
      <w:pPr>
        <w:spacing w:line="360" w:lineRule="auto"/>
        <w:jc w:val="both"/>
        <w:rPr>
          <w:rFonts w:ascii="David" w:hAnsi="David"/>
          <w:b/>
          <w:bCs/>
          <w:u w:val="single"/>
          <w:rtl/>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 xml:space="preserve">פלונית הינה אלמנת אחיו של המבקש, מר </w:t>
      </w:r>
      <w:r w:rsidR="005A2CF4" w:rsidRPr="00C0152C">
        <w:rPr>
          <w:rFonts w:ascii="David" w:hAnsi="David" w:cs="David"/>
          <w:sz w:val="24"/>
          <w:szCs w:val="24"/>
        </w:rPr>
        <w:t>XXX</w:t>
      </w:r>
      <w:r w:rsidRPr="00C0152C">
        <w:rPr>
          <w:rFonts w:ascii="David" w:hAnsi="David" w:cs="David"/>
          <w:sz w:val="24"/>
          <w:szCs w:val="24"/>
          <w:rtl/>
        </w:rPr>
        <w:t xml:space="preserve"> (להלן: "</w:t>
      </w:r>
      <w:r w:rsidRPr="00C0152C">
        <w:rPr>
          <w:rFonts w:ascii="David" w:hAnsi="David" w:cs="David"/>
          <w:b/>
          <w:bCs/>
          <w:sz w:val="24"/>
          <w:szCs w:val="24"/>
          <w:rtl/>
        </w:rPr>
        <w:t>האח המנוח</w:t>
      </w:r>
      <w:r w:rsidRPr="00C0152C">
        <w:rPr>
          <w:rFonts w:ascii="David" w:hAnsi="David" w:cs="David"/>
          <w:sz w:val="24"/>
          <w:szCs w:val="24"/>
          <w:rtl/>
        </w:rPr>
        <w:t>").</w:t>
      </w:r>
    </w:p>
    <w:p w:rsidR="000814C4" w:rsidRPr="00C0152C" w:rsidRDefault="000814C4" w:rsidP="00C0152C">
      <w:pPr>
        <w:pStyle w:val="ad"/>
        <w:spacing w:after="0" w:line="360" w:lineRule="auto"/>
        <w:ind w:left="368"/>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Pr>
      </w:pPr>
      <w:r w:rsidRPr="00C0152C">
        <w:rPr>
          <w:rFonts w:ascii="David" w:hAnsi="David" w:cs="David"/>
          <w:sz w:val="24"/>
          <w:szCs w:val="24"/>
          <w:rtl/>
        </w:rPr>
        <w:t xml:space="preserve">ביום 21.7.08 חתם אביהם של המבקש והאח המנוח, מר </w:t>
      </w:r>
      <w:r w:rsidR="005A2CF4" w:rsidRPr="00C0152C">
        <w:rPr>
          <w:rFonts w:ascii="David" w:hAnsi="David" w:cs="David"/>
          <w:sz w:val="24"/>
          <w:szCs w:val="24"/>
        </w:rPr>
        <w:t>XXX</w:t>
      </w:r>
      <w:r w:rsidRPr="00C0152C">
        <w:rPr>
          <w:rFonts w:ascii="David" w:hAnsi="David" w:cs="David"/>
          <w:sz w:val="24"/>
          <w:szCs w:val="24"/>
          <w:rtl/>
        </w:rPr>
        <w:t xml:space="preserve"> (להלן: "</w:t>
      </w:r>
      <w:r w:rsidRPr="00C0152C">
        <w:rPr>
          <w:rFonts w:ascii="David" w:hAnsi="David" w:cs="David"/>
          <w:b/>
          <w:bCs/>
          <w:sz w:val="24"/>
          <w:szCs w:val="24"/>
          <w:rtl/>
        </w:rPr>
        <w:t>האב המנוח</w:t>
      </w:r>
      <w:r w:rsidRPr="00C0152C">
        <w:rPr>
          <w:rFonts w:ascii="David" w:hAnsi="David" w:cs="David"/>
          <w:sz w:val="24"/>
          <w:szCs w:val="24"/>
          <w:rtl/>
        </w:rPr>
        <w:t>") על צוואה בבית הדין ה</w:t>
      </w:r>
      <w:r w:rsidR="005A2CF4" w:rsidRPr="00C0152C">
        <w:rPr>
          <w:rFonts w:ascii="David" w:hAnsi="David" w:cs="David"/>
          <w:sz w:val="24"/>
          <w:szCs w:val="24"/>
        </w:rPr>
        <w:t>XXX</w:t>
      </w:r>
      <w:r w:rsidRPr="00C0152C">
        <w:rPr>
          <w:rFonts w:ascii="David" w:hAnsi="David" w:cs="David"/>
          <w:sz w:val="24"/>
          <w:szCs w:val="24"/>
          <w:rtl/>
        </w:rPr>
        <w:t xml:space="preserve"> ב</w:t>
      </w:r>
      <w:r w:rsidRPr="00C0152C">
        <w:rPr>
          <w:rFonts w:ascii="David" w:hAnsi="David" w:cs="David"/>
          <w:sz w:val="24"/>
          <w:szCs w:val="24"/>
        </w:rPr>
        <w:t>XXX</w:t>
      </w:r>
      <w:r w:rsidRPr="00C0152C">
        <w:rPr>
          <w:rFonts w:ascii="David" w:hAnsi="David" w:cs="David"/>
          <w:sz w:val="24"/>
          <w:szCs w:val="24"/>
          <w:rtl/>
        </w:rPr>
        <w:t>, לפיה ציווה את הזכויות בחלקה</w:t>
      </w:r>
      <w:r w:rsidR="005A2CF4" w:rsidRPr="00C0152C">
        <w:rPr>
          <w:rFonts w:ascii="David" w:hAnsi="David" w:cs="David"/>
          <w:sz w:val="24"/>
          <w:szCs w:val="24"/>
          <w:rtl/>
        </w:rPr>
        <w:t xml:space="preserve"> </w:t>
      </w:r>
      <w:r w:rsidR="005A2CF4" w:rsidRPr="00C0152C">
        <w:rPr>
          <w:rFonts w:ascii="David" w:hAnsi="David" w:cs="David"/>
          <w:sz w:val="24"/>
          <w:szCs w:val="24"/>
        </w:rPr>
        <w:t>X</w:t>
      </w:r>
      <w:r w:rsidRPr="00C0152C">
        <w:rPr>
          <w:rFonts w:ascii="David" w:hAnsi="David" w:cs="David"/>
          <w:sz w:val="24"/>
          <w:szCs w:val="24"/>
          <w:rtl/>
        </w:rPr>
        <w:t xml:space="preserve"> בגוש</w:t>
      </w:r>
      <w:r w:rsidR="005A2CF4" w:rsidRPr="00C0152C">
        <w:rPr>
          <w:rFonts w:ascii="David" w:hAnsi="David" w:cs="David"/>
          <w:sz w:val="24"/>
          <w:szCs w:val="24"/>
          <w:rtl/>
        </w:rPr>
        <w:t xml:space="preserve"> </w:t>
      </w:r>
      <w:r w:rsidR="005A2CF4" w:rsidRPr="00C0152C">
        <w:rPr>
          <w:rFonts w:ascii="David" w:hAnsi="David" w:cs="David"/>
          <w:sz w:val="24"/>
          <w:szCs w:val="24"/>
        </w:rPr>
        <w:t>XXX</w:t>
      </w:r>
      <w:r w:rsidRPr="00C0152C">
        <w:rPr>
          <w:rFonts w:ascii="David" w:hAnsi="David" w:cs="David"/>
          <w:sz w:val="24"/>
          <w:szCs w:val="24"/>
          <w:rtl/>
        </w:rPr>
        <w:t xml:space="preserve"> ב</w:t>
      </w:r>
      <w:r w:rsidRPr="00C0152C">
        <w:rPr>
          <w:rFonts w:ascii="David" w:hAnsi="David" w:cs="David"/>
          <w:sz w:val="24"/>
          <w:szCs w:val="24"/>
        </w:rPr>
        <w:t>XXX</w:t>
      </w:r>
      <w:r w:rsidRPr="00C0152C">
        <w:rPr>
          <w:rFonts w:ascii="David" w:hAnsi="David" w:cs="David"/>
          <w:sz w:val="24"/>
          <w:szCs w:val="24"/>
          <w:rtl/>
        </w:rPr>
        <w:t xml:space="preserve"> (להלן: "</w:t>
      </w:r>
      <w:r w:rsidRPr="00C0152C">
        <w:rPr>
          <w:rFonts w:ascii="David" w:hAnsi="David" w:cs="David"/>
          <w:b/>
          <w:bCs/>
          <w:sz w:val="24"/>
          <w:szCs w:val="24"/>
          <w:rtl/>
        </w:rPr>
        <w:t>החלקה</w:t>
      </w:r>
      <w:r w:rsidRPr="00C0152C">
        <w:rPr>
          <w:rFonts w:ascii="David" w:hAnsi="David" w:cs="David"/>
          <w:sz w:val="24"/>
          <w:szCs w:val="24"/>
          <w:rtl/>
        </w:rPr>
        <w:t>") למבקש ולאח המנוח בחלקים שווים (הצוואה המתורגמת לעברית צורפה להודעת המבקש מיום 28.5.24- לא סומנה).</w:t>
      </w:r>
    </w:p>
    <w:p w:rsidR="000814C4" w:rsidRPr="00C0152C" w:rsidRDefault="000814C4" w:rsidP="00C0152C">
      <w:pPr>
        <w:pStyle w:val="ad"/>
        <w:spacing w:after="0" w:line="360" w:lineRule="auto"/>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ביום 19.9.11 ניתן צו ירושה אחר האח המנוח (נספח "ב" לתביעה) לפיו המשיבות הינן יורשות האח המנוח (חלקה של כל אחת: 1/2). בהמשך, ביום 20.6.23 הזכויות בחלקה הועברו ע"ש המשיבות בלשכת רישום המקרקעין (ראו: נספח "א" לתביעה- נסח טאבו).</w:t>
      </w:r>
    </w:p>
    <w:p w:rsidR="000814C4" w:rsidRPr="00C0152C" w:rsidRDefault="000814C4" w:rsidP="00C0152C">
      <w:pPr>
        <w:pStyle w:val="ad"/>
        <w:spacing w:after="0" w:line="360" w:lineRule="auto"/>
        <w:ind w:left="368"/>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Pr>
      </w:pPr>
      <w:r w:rsidRPr="00C0152C">
        <w:rPr>
          <w:rFonts w:ascii="David" w:hAnsi="David" w:cs="David"/>
          <w:sz w:val="24"/>
          <w:szCs w:val="24"/>
          <w:rtl/>
        </w:rPr>
        <w:t>ביום 10.10.23 הגישו המשיבות תביעה לפירוק שיתוף כנגד המבקש (להלן: "</w:t>
      </w:r>
      <w:r w:rsidRPr="00C0152C">
        <w:rPr>
          <w:rFonts w:ascii="David" w:hAnsi="David" w:cs="David"/>
          <w:b/>
          <w:bCs/>
          <w:sz w:val="24"/>
          <w:szCs w:val="24"/>
          <w:rtl/>
        </w:rPr>
        <w:t>התביעה</w:t>
      </w:r>
      <w:r w:rsidRPr="00C0152C">
        <w:rPr>
          <w:rFonts w:ascii="David" w:hAnsi="David" w:cs="David"/>
          <w:sz w:val="24"/>
          <w:szCs w:val="24"/>
          <w:rtl/>
        </w:rPr>
        <w:t>"). ביום 2.11.23 הגיש המבקש כתב הגנה.</w:t>
      </w:r>
    </w:p>
    <w:p w:rsidR="000814C4" w:rsidRPr="00C0152C" w:rsidRDefault="000814C4" w:rsidP="00C0152C">
      <w:pPr>
        <w:pStyle w:val="ad"/>
        <w:spacing w:after="0" w:line="360" w:lineRule="auto"/>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ביום 3.11.23 הגיש המבקש את הבקשה למחיקת התביעה בה עסקינן (להלן: "</w:t>
      </w:r>
      <w:r w:rsidRPr="00C0152C">
        <w:rPr>
          <w:rFonts w:ascii="David" w:hAnsi="David" w:cs="David"/>
          <w:b/>
          <w:bCs/>
          <w:sz w:val="24"/>
          <w:szCs w:val="24"/>
          <w:rtl/>
        </w:rPr>
        <w:t>הבקשה</w:t>
      </w:r>
      <w:r w:rsidRPr="00C0152C">
        <w:rPr>
          <w:rFonts w:ascii="David" w:hAnsi="David" w:cs="David"/>
          <w:sz w:val="24"/>
          <w:szCs w:val="24"/>
          <w:rtl/>
        </w:rPr>
        <w:t>"), במסגרתה טען כי יש להורות על מחיקת התביעה בהעדר סמכות עניינית ומקומית. ביום 29.11.23 הוגשה תגובת המשיבות (להלן: "</w:t>
      </w:r>
      <w:r w:rsidRPr="00C0152C">
        <w:rPr>
          <w:rFonts w:ascii="David" w:hAnsi="David" w:cs="David"/>
          <w:b/>
          <w:bCs/>
          <w:sz w:val="24"/>
          <w:szCs w:val="24"/>
          <w:rtl/>
        </w:rPr>
        <w:t>התגובה</w:t>
      </w:r>
      <w:r w:rsidRPr="00C0152C">
        <w:rPr>
          <w:rFonts w:ascii="David" w:hAnsi="David" w:cs="David"/>
          <w:sz w:val="24"/>
          <w:szCs w:val="24"/>
          <w:rtl/>
        </w:rPr>
        <w:t>"), במסגרתה עתרה לדחות את הבקשה בשל העובדה כי לשיטתה לבית משפט זה מסורה הסמכות לדון בתביעה.</w:t>
      </w:r>
    </w:p>
    <w:p w:rsidR="000814C4" w:rsidRPr="00C0152C" w:rsidRDefault="000814C4" w:rsidP="00C0152C">
      <w:pPr>
        <w:pStyle w:val="ad"/>
        <w:spacing w:after="0" w:line="360" w:lineRule="auto"/>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 xml:space="preserve">ביום 26.5.24 התקיים דיון, במהלכו חזרו הצדדים על טענותיהם בסוגיית הסמכות. </w:t>
      </w:r>
    </w:p>
    <w:p w:rsidR="000814C4" w:rsidRPr="00C0152C" w:rsidRDefault="000814C4" w:rsidP="00C0152C">
      <w:pPr>
        <w:pStyle w:val="ad"/>
        <w:spacing w:after="0" w:line="360" w:lineRule="auto"/>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להשלמת התמונה העובדתית אציין כי המבקש הגיש תביעה שמהותה: "פסק דין הצהרתי לביטול רישום הזכויות בטאבו" כנגד פלונית בבית המשפט לענייני משפחה ב</w:t>
      </w:r>
      <w:r w:rsidRPr="00C0152C">
        <w:rPr>
          <w:rFonts w:ascii="David" w:hAnsi="David" w:cs="David"/>
          <w:sz w:val="24"/>
          <w:szCs w:val="24"/>
        </w:rPr>
        <w:t>XXX</w:t>
      </w:r>
      <w:r w:rsidRPr="00C0152C">
        <w:rPr>
          <w:rFonts w:ascii="David" w:hAnsi="David" w:cs="David"/>
          <w:sz w:val="24"/>
          <w:szCs w:val="24"/>
          <w:rtl/>
        </w:rPr>
        <w:t xml:space="preserve"> (תמ"ש 13896-04-24) להלן: "</w:t>
      </w:r>
      <w:r w:rsidRPr="00C0152C">
        <w:rPr>
          <w:rFonts w:ascii="David" w:hAnsi="David" w:cs="David"/>
          <w:b/>
          <w:bCs/>
          <w:sz w:val="24"/>
          <w:szCs w:val="24"/>
          <w:rtl/>
        </w:rPr>
        <w:t>תביעת המבקש</w:t>
      </w:r>
      <w:r w:rsidRPr="00C0152C">
        <w:rPr>
          <w:rFonts w:ascii="David" w:hAnsi="David" w:cs="David"/>
          <w:sz w:val="24"/>
          <w:szCs w:val="24"/>
          <w:rtl/>
        </w:rPr>
        <w:t>". המבקש לא ציין מהו מועד הגשת התביעה המדויק, עם זאת ברור כי התביעה הוגשה לאחר הגשת התביעה על ידי המשיבות בבית משפט זה (בחודש 4/24).</w:t>
      </w:r>
    </w:p>
    <w:p w:rsidR="000814C4" w:rsidRPr="00C0152C" w:rsidRDefault="000814C4" w:rsidP="00C0152C">
      <w:pPr>
        <w:pStyle w:val="ad"/>
        <w:spacing w:after="0" w:line="360" w:lineRule="auto"/>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משכך, נדרשת אני כעת למתן החלטה.</w:t>
      </w:r>
    </w:p>
    <w:p w:rsidR="000814C4" w:rsidRPr="00C0152C" w:rsidRDefault="000814C4" w:rsidP="00C0152C">
      <w:pPr>
        <w:pStyle w:val="ad"/>
        <w:spacing w:after="0" w:line="360" w:lineRule="auto"/>
        <w:jc w:val="both"/>
        <w:rPr>
          <w:rFonts w:ascii="David" w:hAnsi="David" w:cs="David"/>
          <w:sz w:val="24"/>
          <w:szCs w:val="24"/>
        </w:rPr>
      </w:pP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t>טענות הצדדים בתמצית:</w:t>
      </w: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t>טענות המבקש:</w:t>
      </w:r>
    </w:p>
    <w:p w:rsidR="000814C4" w:rsidRPr="00C0152C" w:rsidRDefault="000814C4" w:rsidP="00C0152C">
      <w:pPr>
        <w:spacing w:line="360" w:lineRule="auto"/>
        <w:jc w:val="both"/>
        <w:rPr>
          <w:rFonts w:ascii="David" w:hAnsi="David"/>
          <w:b/>
          <w:bCs/>
          <w:u w:val="single"/>
          <w:rtl/>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Pr>
      </w:pPr>
      <w:r w:rsidRPr="00C0152C">
        <w:rPr>
          <w:rFonts w:ascii="David" w:hAnsi="David" w:cs="David"/>
          <w:sz w:val="24"/>
          <w:szCs w:val="24"/>
          <w:rtl/>
        </w:rPr>
        <w:t>לטענת המבקש (סעיף 1 לבקשה):</w:t>
      </w:r>
    </w:p>
    <w:p w:rsidR="000814C4" w:rsidRPr="00C0152C" w:rsidRDefault="00D01548" w:rsidP="00C0152C">
      <w:pPr>
        <w:pStyle w:val="ad"/>
        <w:spacing w:after="0" w:line="360" w:lineRule="auto"/>
        <w:ind w:left="283"/>
        <w:jc w:val="both"/>
        <w:rPr>
          <w:rFonts w:ascii="David" w:hAnsi="David" w:cs="David"/>
          <w:b/>
          <w:bCs/>
          <w:sz w:val="24"/>
          <w:szCs w:val="24"/>
          <w:u w:val="single"/>
          <w:rtl/>
        </w:rPr>
      </w:pPr>
      <w:r w:rsidRPr="00C0152C">
        <w:rPr>
          <w:rFonts w:ascii="David" w:hAnsi="David" w:cs="David"/>
          <w:b/>
          <w:bCs/>
          <w:sz w:val="24"/>
          <w:szCs w:val="24"/>
          <w:u w:val="single"/>
          <w:rtl/>
        </w:rPr>
        <w:t>"</w:t>
      </w:r>
      <w:r w:rsidR="000814C4" w:rsidRPr="00C0152C">
        <w:rPr>
          <w:rFonts w:ascii="David" w:hAnsi="David" w:cs="David"/>
          <w:b/>
          <w:bCs/>
          <w:sz w:val="24"/>
          <w:szCs w:val="24"/>
          <w:u w:val="single"/>
          <w:rtl/>
        </w:rPr>
        <w:t>1.</w:t>
      </w:r>
      <w:r w:rsidR="000814C4" w:rsidRPr="00C0152C">
        <w:rPr>
          <w:rFonts w:ascii="David" w:hAnsi="David" w:cs="David"/>
          <w:b/>
          <w:bCs/>
          <w:sz w:val="24"/>
          <w:szCs w:val="24"/>
          <w:u w:val="single"/>
          <w:rtl/>
        </w:rPr>
        <w:tab/>
        <w:t>בנוגע לטענת חוסר סמכות מקומית הנתבע יטען כלהלן:</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א.</w:t>
      </w:r>
      <w:r w:rsidRPr="00C0152C">
        <w:rPr>
          <w:rFonts w:ascii="David" w:hAnsi="David" w:cs="David"/>
          <w:b/>
          <w:bCs/>
          <w:sz w:val="24"/>
          <w:szCs w:val="24"/>
          <w:rtl/>
        </w:rPr>
        <w:tab/>
        <w:t xml:space="preserve">הנתבע יטען כי ביהמ"ש הנכבד הזה מחוסר סמכות מקומית לדון בתביעה וזאת מאחר והנתבע הנו תושב העיר </w:t>
      </w:r>
      <w:r w:rsidRPr="00C0152C">
        <w:rPr>
          <w:rFonts w:ascii="David" w:hAnsi="David" w:cs="David"/>
          <w:b/>
          <w:bCs/>
          <w:sz w:val="24"/>
          <w:szCs w:val="24"/>
        </w:rPr>
        <w:t>XXX</w:t>
      </w:r>
      <w:r w:rsidRPr="00C0152C">
        <w:rPr>
          <w:rFonts w:ascii="David" w:hAnsi="David" w:cs="David"/>
          <w:b/>
          <w:bCs/>
          <w:sz w:val="24"/>
          <w:szCs w:val="24"/>
          <w:rtl/>
        </w:rPr>
        <w:t xml:space="preserve">. </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ב.</w:t>
      </w:r>
      <w:r w:rsidRPr="00C0152C">
        <w:rPr>
          <w:rFonts w:ascii="David" w:hAnsi="David" w:cs="David"/>
          <w:b/>
          <w:bCs/>
          <w:sz w:val="24"/>
          <w:szCs w:val="24"/>
          <w:rtl/>
        </w:rPr>
        <w:tab/>
        <w:t>בנוסף, הנכ</w:t>
      </w:r>
      <w:r w:rsidR="00113BA9" w:rsidRPr="00C0152C">
        <w:rPr>
          <w:rFonts w:ascii="David" w:hAnsi="David" w:cs="David"/>
          <w:b/>
          <w:bCs/>
          <w:sz w:val="24"/>
          <w:szCs w:val="24"/>
          <w:rtl/>
        </w:rPr>
        <w:t>ס</w:t>
      </w:r>
      <w:r w:rsidRPr="00C0152C">
        <w:rPr>
          <w:rFonts w:ascii="David" w:hAnsi="David" w:cs="David"/>
          <w:b/>
          <w:bCs/>
          <w:sz w:val="24"/>
          <w:szCs w:val="24"/>
          <w:rtl/>
        </w:rPr>
        <w:t xml:space="preserve"> נשוא התביעה נמצא בתחום שיפוט של העיר </w:t>
      </w:r>
      <w:r w:rsidRPr="00C0152C">
        <w:rPr>
          <w:rFonts w:ascii="David" w:hAnsi="David" w:cs="David"/>
          <w:b/>
          <w:bCs/>
          <w:sz w:val="24"/>
          <w:szCs w:val="24"/>
        </w:rPr>
        <w:t>XXX</w:t>
      </w:r>
      <w:r w:rsidRPr="00C0152C">
        <w:rPr>
          <w:rFonts w:ascii="David" w:hAnsi="David" w:cs="David"/>
          <w:b/>
          <w:bCs/>
          <w:sz w:val="24"/>
          <w:szCs w:val="24"/>
          <w:rtl/>
        </w:rPr>
        <w:t xml:space="preserve">. </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 xml:space="preserve">ג. </w:t>
      </w:r>
      <w:r w:rsidRPr="00C0152C">
        <w:rPr>
          <w:rFonts w:ascii="David" w:hAnsi="David" w:cs="David"/>
          <w:b/>
          <w:bCs/>
          <w:sz w:val="24"/>
          <w:szCs w:val="24"/>
          <w:rtl/>
        </w:rPr>
        <w:tab/>
        <w:t xml:space="preserve">בכותרת כתב התביעה, התובעות ציינו בפרטי הנתבע, כי הוא תושב </w:t>
      </w:r>
      <w:r w:rsidRPr="00C0152C">
        <w:rPr>
          <w:rFonts w:ascii="David" w:hAnsi="David" w:cs="David"/>
          <w:b/>
          <w:bCs/>
          <w:sz w:val="24"/>
          <w:szCs w:val="24"/>
        </w:rPr>
        <w:t>XXX</w:t>
      </w:r>
      <w:r w:rsidRPr="00C0152C">
        <w:rPr>
          <w:rFonts w:ascii="David" w:hAnsi="David" w:cs="David"/>
          <w:b/>
          <w:bCs/>
          <w:sz w:val="24"/>
          <w:szCs w:val="24"/>
          <w:rtl/>
        </w:rPr>
        <w:t xml:space="preserve"> וכן כתובת הנכס נשוא התביעה הנו בעיר </w:t>
      </w:r>
      <w:r w:rsidRPr="00C0152C">
        <w:rPr>
          <w:rFonts w:ascii="David" w:hAnsi="David" w:cs="David"/>
          <w:b/>
          <w:bCs/>
          <w:sz w:val="24"/>
          <w:szCs w:val="24"/>
        </w:rPr>
        <w:t>XXX</w:t>
      </w:r>
      <w:r w:rsidRPr="00C0152C">
        <w:rPr>
          <w:rFonts w:ascii="David" w:hAnsi="David" w:cs="David"/>
          <w:b/>
          <w:bCs/>
          <w:sz w:val="24"/>
          <w:szCs w:val="24"/>
          <w:rtl/>
        </w:rPr>
        <w:t xml:space="preserve">. </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ד.</w:t>
      </w:r>
      <w:r w:rsidRPr="00C0152C">
        <w:rPr>
          <w:rFonts w:ascii="David" w:hAnsi="David" w:cs="David"/>
          <w:b/>
          <w:bCs/>
          <w:sz w:val="24"/>
          <w:szCs w:val="24"/>
          <w:rtl/>
        </w:rPr>
        <w:tab/>
        <w:t xml:space="preserve">כמובן בס' 2 לכתב התביעה, התובעות מודות כי הנתבע הנו תושב העיר </w:t>
      </w:r>
      <w:r w:rsidRPr="00C0152C">
        <w:rPr>
          <w:rFonts w:ascii="David" w:hAnsi="David" w:cs="David"/>
          <w:b/>
          <w:bCs/>
          <w:sz w:val="24"/>
          <w:szCs w:val="24"/>
        </w:rPr>
        <w:t>XXX</w:t>
      </w:r>
      <w:r w:rsidRPr="00C0152C">
        <w:rPr>
          <w:rFonts w:ascii="David" w:hAnsi="David" w:cs="David"/>
          <w:b/>
          <w:bCs/>
          <w:sz w:val="24"/>
          <w:szCs w:val="24"/>
          <w:rtl/>
        </w:rPr>
        <w:t>.</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ה.</w:t>
      </w:r>
      <w:r w:rsidRPr="00C0152C">
        <w:rPr>
          <w:rFonts w:ascii="David" w:hAnsi="David" w:cs="David"/>
          <w:b/>
          <w:bCs/>
          <w:sz w:val="24"/>
          <w:szCs w:val="24"/>
          <w:rtl/>
        </w:rPr>
        <w:tab/>
        <w:t xml:space="preserve">בס' 3 לכתב התביעה התובעות מצהירות כי הנכס נשוא התביעה נמצא בעיר </w:t>
      </w:r>
      <w:r w:rsidRPr="00C0152C">
        <w:rPr>
          <w:rFonts w:ascii="David" w:hAnsi="David" w:cs="David"/>
          <w:b/>
          <w:bCs/>
          <w:sz w:val="24"/>
          <w:szCs w:val="24"/>
        </w:rPr>
        <w:t>XXX</w:t>
      </w:r>
      <w:r w:rsidRPr="00C0152C">
        <w:rPr>
          <w:rFonts w:ascii="David" w:hAnsi="David" w:cs="David"/>
          <w:b/>
          <w:bCs/>
          <w:sz w:val="24"/>
          <w:szCs w:val="24"/>
          <w:rtl/>
        </w:rPr>
        <w:t xml:space="preserve">. </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ו.</w:t>
      </w:r>
      <w:r w:rsidRPr="00C0152C">
        <w:rPr>
          <w:rFonts w:ascii="David" w:hAnsi="David" w:cs="David"/>
          <w:b/>
          <w:bCs/>
          <w:sz w:val="24"/>
          <w:szCs w:val="24"/>
          <w:rtl/>
        </w:rPr>
        <w:tab/>
        <w:t>התובעות לא פעלו בהתאם להוראות התקסד"א בכך שהחסירו, במתכוון, את הסעיף המהותי שחובה לנמק בכתב התביעה והמתייחס לעניין הסמכות של ביהמ"ש אליו מוגשת התביעה, כאשר באותו סעיף חלה החובה על התובעות לנמק את הסיבות המעניקות סמכות מקומית ועניינית לביהמ"ש שבפניו מוגשת התביעה.</w:t>
      </w:r>
    </w:p>
    <w:p w:rsidR="000814C4" w:rsidRPr="00C0152C" w:rsidRDefault="000814C4" w:rsidP="00C0152C">
      <w:pPr>
        <w:pStyle w:val="ad"/>
        <w:spacing w:after="0" w:line="360" w:lineRule="auto"/>
        <w:ind w:left="1440" w:hanging="720"/>
        <w:jc w:val="both"/>
        <w:rPr>
          <w:rFonts w:ascii="David" w:hAnsi="David" w:cs="David"/>
          <w:b/>
          <w:bCs/>
          <w:sz w:val="24"/>
          <w:szCs w:val="24"/>
          <w:rtl/>
        </w:rPr>
      </w:pPr>
      <w:r w:rsidRPr="00C0152C">
        <w:rPr>
          <w:rFonts w:ascii="David" w:hAnsi="David" w:cs="David"/>
          <w:b/>
          <w:bCs/>
          <w:sz w:val="24"/>
          <w:szCs w:val="24"/>
          <w:rtl/>
        </w:rPr>
        <w:t>ז.</w:t>
      </w:r>
      <w:r w:rsidRPr="00C0152C">
        <w:rPr>
          <w:rFonts w:ascii="David" w:hAnsi="David" w:cs="David"/>
          <w:b/>
          <w:bCs/>
          <w:sz w:val="24"/>
          <w:szCs w:val="24"/>
          <w:rtl/>
        </w:rPr>
        <w:tab/>
        <w:t>הנתבע טוען כי סעיף זה לא מופיע בכלל בכתב התביעה, וטוען כי הדבר נעשה בחוסר תום לב, כי ידוע כבר לתובעות שאין לביהמ"ש הנכבד הזה סמכות, מקומית ועניינית, לדון בתביעה, והחסירו סעיף מהותי זה מכתב התביעה על מנת שלא יצהירו על הצהרת שקר, והעדיפו להתעלם מסוגייה זו בכלל מכתב התביעה, הכל, כמובן, נמנה על רשימת העילות לשימוש בהליכי המשפט בחוסר תום לב</w:t>
      </w:r>
      <w:r w:rsidR="00D01548" w:rsidRPr="00C0152C">
        <w:rPr>
          <w:rFonts w:ascii="David" w:hAnsi="David" w:cs="David"/>
          <w:b/>
          <w:bCs/>
          <w:sz w:val="24"/>
          <w:szCs w:val="24"/>
          <w:rtl/>
        </w:rPr>
        <w:t>"</w:t>
      </w:r>
      <w:r w:rsidRPr="00C0152C">
        <w:rPr>
          <w:rFonts w:ascii="David" w:hAnsi="David" w:cs="David"/>
          <w:b/>
          <w:bCs/>
          <w:sz w:val="24"/>
          <w:szCs w:val="24"/>
          <w:rtl/>
        </w:rPr>
        <w:t xml:space="preserve">. </w:t>
      </w:r>
    </w:p>
    <w:p w:rsidR="000814C4" w:rsidRPr="00C0152C" w:rsidRDefault="000814C4" w:rsidP="00C0152C">
      <w:pPr>
        <w:tabs>
          <w:tab w:val="left" w:pos="368"/>
        </w:tabs>
        <w:spacing w:line="360" w:lineRule="auto"/>
        <w:ind w:left="850"/>
        <w:jc w:val="both"/>
        <w:rPr>
          <w:rFonts w:ascii="David" w:hAnsi="David"/>
          <w:rtl/>
        </w:rPr>
      </w:pPr>
    </w:p>
    <w:p w:rsidR="00C0152C" w:rsidRDefault="00C0152C" w:rsidP="00C0152C">
      <w:pPr>
        <w:pStyle w:val="ad"/>
        <w:spacing w:after="0" w:line="360" w:lineRule="auto"/>
        <w:ind w:left="283"/>
        <w:jc w:val="both"/>
        <w:rPr>
          <w:rFonts w:ascii="David" w:hAnsi="David" w:cs="David"/>
          <w:sz w:val="24"/>
          <w:szCs w:val="24"/>
          <w:rtl/>
        </w:rPr>
      </w:pPr>
    </w:p>
    <w:p w:rsidR="00C0152C" w:rsidRDefault="00C0152C" w:rsidP="00C0152C">
      <w:pPr>
        <w:pStyle w:val="ad"/>
        <w:spacing w:after="0" w:line="360" w:lineRule="auto"/>
        <w:ind w:left="283"/>
        <w:jc w:val="both"/>
        <w:rPr>
          <w:rFonts w:ascii="David" w:hAnsi="David" w:cs="David"/>
          <w:sz w:val="24"/>
          <w:szCs w:val="24"/>
          <w:rtl/>
        </w:rPr>
      </w:pPr>
    </w:p>
    <w:p w:rsidR="00C0152C" w:rsidRDefault="00C0152C" w:rsidP="00C0152C">
      <w:pPr>
        <w:pStyle w:val="ad"/>
        <w:spacing w:after="0" w:line="360" w:lineRule="auto"/>
        <w:ind w:left="283"/>
        <w:jc w:val="both"/>
        <w:rPr>
          <w:rFonts w:ascii="David" w:hAnsi="David" w:cs="David"/>
          <w:sz w:val="24"/>
          <w:szCs w:val="24"/>
          <w:rtl/>
        </w:rPr>
      </w:pPr>
    </w:p>
    <w:p w:rsidR="00C0152C" w:rsidRDefault="00C0152C" w:rsidP="00C0152C">
      <w:pPr>
        <w:pStyle w:val="ad"/>
        <w:spacing w:after="0" w:line="360" w:lineRule="auto"/>
        <w:ind w:left="283"/>
        <w:jc w:val="both"/>
        <w:rPr>
          <w:rFonts w:ascii="David" w:hAnsi="David" w:cs="David"/>
          <w:sz w:val="24"/>
          <w:szCs w:val="24"/>
          <w:rtl/>
        </w:rPr>
      </w:pPr>
    </w:p>
    <w:p w:rsidR="000814C4" w:rsidRPr="00C0152C" w:rsidRDefault="000814C4" w:rsidP="00C0152C">
      <w:pPr>
        <w:pStyle w:val="ad"/>
        <w:spacing w:after="0" w:line="360" w:lineRule="auto"/>
        <w:ind w:left="283"/>
        <w:jc w:val="both"/>
        <w:rPr>
          <w:rFonts w:ascii="David" w:hAnsi="David" w:cs="David"/>
          <w:sz w:val="24"/>
          <w:szCs w:val="24"/>
        </w:rPr>
      </w:pPr>
      <w:r w:rsidRPr="00C0152C">
        <w:rPr>
          <w:rFonts w:ascii="David" w:hAnsi="David" w:cs="David"/>
          <w:sz w:val="24"/>
          <w:szCs w:val="24"/>
          <w:rtl/>
        </w:rPr>
        <w:t>בנוסף, טען המבקש כדלקמן (סעיף 2 לבקשה):</w:t>
      </w:r>
    </w:p>
    <w:p w:rsidR="000814C4" w:rsidRPr="00C0152C" w:rsidRDefault="000814C4" w:rsidP="00C0152C">
      <w:pPr>
        <w:spacing w:line="360" w:lineRule="auto"/>
        <w:ind w:left="283"/>
        <w:jc w:val="both"/>
        <w:rPr>
          <w:rFonts w:ascii="David" w:hAnsi="David"/>
          <w:rtl/>
        </w:rPr>
      </w:pPr>
      <w:r w:rsidRPr="00C0152C">
        <w:rPr>
          <w:rFonts w:ascii="David" w:hAnsi="David"/>
        </w:rPr>
        <w:drawing>
          <wp:inline distT="0" distB="0" distL="0" distR="0" wp14:anchorId="39D5054A" wp14:editId="3C38B68F">
            <wp:extent cx="5124450" cy="2324100"/>
            <wp:effectExtent l="0" t="0" r="0" b="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4450" cy="2324100"/>
                    </a:xfrm>
                    <a:prstGeom prst="rect">
                      <a:avLst/>
                    </a:prstGeom>
                    <a:noFill/>
                    <a:ln>
                      <a:noFill/>
                    </a:ln>
                  </pic:spPr>
                </pic:pic>
              </a:graphicData>
            </a:graphic>
          </wp:inline>
        </w:drawing>
      </w:r>
    </w:p>
    <w:p w:rsidR="000814C4" w:rsidRPr="00C0152C" w:rsidRDefault="000814C4" w:rsidP="00C0152C">
      <w:pPr>
        <w:pStyle w:val="ad"/>
        <w:spacing w:after="0" w:line="360" w:lineRule="auto"/>
        <w:ind w:left="368"/>
        <w:jc w:val="both"/>
        <w:rPr>
          <w:rFonts w:ascii="David" w:hAnsi="David" w:cs="David"/>
          <w:sz w:val="24"/>
          <w:szCs w:val="24"/>
          <w:rtl/>
        </w:rPr>
      </w:pPr>
    </w:p>
    <w:p w:rsidR="000814C4" w:rsidRPr="00C0152C" w:rsidRDefault="000814C4" w:rsidP="00C0152C">
      <w:pPr>
        <w:pStyle w:val="ad"/>
        <w:numPr>
          <w:ilvl w:val="0"/>
          <w:numId w:val="1"/>
        </w:numPr>
        <w:spacing w:after="0" w:line="360" w:lineRule="auto"/>
        <w:ind w:left="283" w:hanging="284"/>
        <w:jc w:val="both"/>
        <w:rPr>
          <w:rFonts w:ascii="David" w:hAnsi="David" w:cs="David"/>
          <w:sz w:val="24"/>
          <w:szCs w:val="24"/>
        </w:rPr>
      </w:pPr>
      <w:r w:rsidRPr="00C0152C">
        <w:rPr>
          <w:rFonts w:ascii="David" w:hAnsi="David" w:cs="David"/>
          <w:sz w:val="24"/>
          <w:szCs w:val="24"/>
          <w:rtl/>
        </w:rPr>
        <w:t>לטענת המשיבות (סעיפים 3-4 לתגובה):</w:t>
      </w:r>
    </w:p>
    <w:p w:rsidR="000814C4" w:rsidRPr="00C0152C" w:rsidRDefault="000814C4" w:rsidP="00C0152C">
      <w:pPr>
        <w:pStyle w:val="ad"/>
        <w:spacing w:after="0" w:line="360" w:lineRule="auto"/>
        <w:ind w:left="283"/>
        <w:jc w:val="both"/>
        <w:rPr>
          <w:rFonts w:ascii="David" w:hAnsi="David" w:cs="David"/>
          <w:sz w:val="24"/>
          <w:szCs w:val="24"/>
        </w:rPr>
      </w:pPr>
      <w:r w:rsidRPr="00C0152C">
        <w:rPr>
          <w:rFonts w:ascii="David" w:hAnsi="David" w:cs="David"/>
          <w:noProof/>
          <w:sz w:val="24"/>
          <w:szCs w:val="24"/>
        </w:rPr>
        <w:drawing>
          <wp:inline distT="0" distB="0" distL="0" distR="0" wp14:anchorId="66C05B25" wp14:editId="7C759A6A">
            <wp:extent cx="5124450" cy="400050"/>
            <wp:effectExtent l="0" t="0" r="0"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4450" cy="400050"/>
                    </a:xfrm>
                    <a:prstGeom prst="rect">
                      <a:avLst/>
                    </a:prstGeom>
                    <a:noFill/>
                    <a:ln>
                      <a:noFill/>
                    </a:ln>
                  </pic:spPr>
                </pic:pic>
              </a:graphicData>
            </a:graphic>
          </wp:inline>
        </w:drawing>
      </w:r>
    </w:p>
    <w:p w:rsidR="000814C4" w:rsidRPr="00C0152C" w:rsidRDefault="000814C4" w:rsidP="00C0152C">
      <w:pPr>
        <w:pStyle w:val="ad"/>
        <w:spacing w:after="0" w:line="360" w:lineRule="auto"/>
        <w:ind w:left="368"/>
        <w:jc w:val="both"/>
        <w:rPr>
          <w:rFonts w:ascii="David" w:hAnsi="David" w:cs="David"/>
          <w:sz w:val="24"/>
          <w:szCs w:val="24"/>
          <w:rtl/>
        </w:rPr>
      </w:pPr>
      <w:r w:rsidRPr="00C0152C">
        <w:rPr>
          <w:rFonts w:ascii="David" w:hAnsi="David" w:cs="David"/>
          <w:noProof/>
          <w:sz w:val="24"/>
          <w:szCs w:val="24"/>
        </w:rPr>
        <w:drawing>
          <wp:inline distT="0" distB="0" distL="0" distR="0" wp14:anchorId="46B1DE00" wp14:editId="309E8BD4">
            <wp:extent cx="3419475" cy="1847850"/>
            <wp:effectExtent l="0" t="0" r="9525" b="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9475" cy="1847850"/>
                    </a:xfrm>
                    <a:prstGeom prst="rect">
                      <a:avLst/>
                    </a:prstGeom>
                    <a:noFill/>
                    <a:ln>
                      <a:noFill/>
                    </a:ln>
                  </pic:spPr>
                </pic:pic>
              </a:graphicData>
            </a:graphic>
          </wp:inline>
        </w:drawing>
      </w:r>
    </w:p>
    <w:p w:rsidR="000814C4" w:rsidRPr="00C0152C" w:rsidRDefault="000814C4" w:rsidP="00C0152C">
      <w:pPr>
        <w:pStyle w:val="ad"/>
        <w:spacing w:after="0" w:line="360" w:lineRule="auto"/>
        <w:ind w:left="283"/>
        <w:jc w:val="both"/>
        <w:rPr>
          <w:rFonts w:ascii="David" w:hAnsi="David" w:cs="David"/>
          <w:sz w:val="24"/>
          <w:szCs w:val="24"/>
          <w:rtl/>
        </w:rPr>
      </w:pPr>
      <w:r w:rsidRPr="00C0152C">
        <w:rPr>
          <w:rFonts w:ascii="David" w:hAnsi="David" w:cs="David"/>
          <w:noProof/>
          <w:sz w:val="24"/>
          <w:szCs w:val="24"/>
        </w:rPr>
        <w:drawing>
          <wp:inline distT="0" distB="0" distL="0" distR="0" wp14:anchorId="4D671816" wp14:editId="0713D631">
            <wp:extent cx="5114925" cy="561975"/>
            <wp:effectExtent l="0" t="0" r="9525" b="9525"/>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14925" cy="561975"/>
                    </a:xfrm>
                    <a:prstGeom prst="rect">
                      <a:avLst/>
                    </a:prstGeom>
                    <a:noFill/>
                    <a:ln>
                      <a:noFill/>
                    </a:ln>
                  </pic:spPr>
                </pic:pic>
              </a:graphicData>
            </a:graphic>
          </wp:inline>
        </w:drawing>
      </w:r>
    </w:p>
    <w:p w:rsidR="00113BA9" w:rsidRPr="00C0152C" w:rsidRDefault="00113BA9" w:rsidP="00C0152C">
      <w:pPr>
        <w:pStyle w:val="ad"/>
        <w:spacing w:after="0" w:line="360" w:lineRule="auto"/>
        <w:ind w:left="283"/>
        <w:jc w:val="both"/>
        <w:rPr>
          <w:rFonts w:ascii="David" w:hAnsi="David" w:cs="David"/>
          <w:sz w:val="24"/>
          <w:szCs w:val="24"/>
          <w:rtl/>
        </w:rPr>
      </w:pPr>
    </w:p>
    <w:p w:rsidR="000814C4" w:rsidRPr="00C0152C" w:rsidRDefault="000814C4" w:rsidP="00C0152C">
      <w:pPr>
        <w:pStyle w:val="ad"/>
        <w:spacing w:after="0" w:line="360" w:lineRule="auto"/>
        <w:ind w:left="283"/>
        <w:jc w:val="both"/>
        <w:rPr>
          <w:rFonts w:ascii="David" w:hAnsi="David" w:cs="David"/>
          <w:sz w:val="24"/>
          <w:szCs w:val="24"/>
          <w:rtl/>
        </w:rPr>
      </w:pPr>
      <w:r w:rsidRPr="00C0152C">
        <w:rPr>
          <w:rFonts w:ascii="David" w:hAnsi="David" w:cs="David"/>
          <w:sz w:val="24"/>
          <w:szCs w:val="24"/>
          <w:rtl/>
        </w:rPr>
        <w:t>וכן (בסעיפים 7-8 לתגובה):</w:t>
      </w:r>
    </w:p>
    <w:p w:rsidR="000814C4" w:rsidRPr="00C0152C" w:rsidRDefault="00D01548" w:rsidP="00C0152C">
      <w:pPr>
        <w:pStyle w:val="ad"/>
        <w:spacing w:after="0" w:line="360" w:lineRule="auto"/>
        <w:ind w:left="708" w:right="284" w:hanging="425"/>
        <w:jc w:val="both"/>
        <w:rPr>
          <w:rFonts w:ascii="David" w:hAnsi="David" w:cs="David"/>
          <w:b/>
          <w:bCs/>
          <w:sz w:val="24"/>
          <w:szCs w:val="24"/>
          <w:rtl/>
        </w:rPr>
      </w:pPr>
      <w:r w:rsidRPr="00C0152C">
        <w:rPr>
          <w:rFonts w:ascii="David" w:hAnsi="David" w:cs="David"/>
          <w:b/>
          <w:bCs/>
          <w:sz w:val="24"/>
          <w:szCs w:val="24"/>
          <w:rtl/>
        </w:rPr>
        <w:t>"</w:t>
      </w:r>
      <w:r w:rsidR="000814C4" w:rsidRPr="00C0152C">
        <w:rPr>
          <w:rFonts w:ascii="David" w:hAnsi="David" w:cs="David"/>
          <w:b/>
          <w:bCs/>
          <w:sz w:val="24"/>
          <w:szCs w:val="24"/>
          <w:rtl/>
        </w:rPr>
        <w:t>7.</w:t>
      </w:r>
      <w:r w:rsidR="000814C4" w:rsidRPr="00C0152C">
        <w:rPr>
          <w:rFonts w:ascii="David" w:hAnsi="David" w:cs="David"/>
          <w:b/>
          <w:bCs/>
          <w:sz w:val="24"/>
          <w:szCs w:val="24"/>
          <w:rtl/>
        </w:rPr>
        <w:tab/>
        <w:t>מהעובדות שהובאו במסגרת כתב התביעה, עולה כי הסכסוך סב סביב ירושת ה</w:t>
      </w:r>
      <w:r w:rsidR="00113BA9" w:rsidRPr="00C0152C">
        <w:rPr>
          <w:rFonts w:ascii="David" w:hAnsi="David" w:cs="David"/>
          <w:b/>
          <w:bCs/>
          <w:sz w:val="24"/>
          <w:szCs w:val="24"/>
          <w:rtl/>
        </w:rPr>
        <w:t xml:space="preserve">אח המנוח, </w:t>
      </w:r>
      <w:r w:rsidR="000814C4" w:rsidRPr="00C0152C">
        <w:rPr>
          <w:rFonts w:ascii="David" w:hAnsi="David" w:cs="David"/>
          <w:b/>
          <w:bCs/>
          <w:sz w:val="24"/>
          <w:szCs w:val="24"/>
          <w:rtl/>
        </w:rPr>
        <w:t>כאשר היורשים הי</w:t>
      </w:r>
      <w:r w:rsidR="00113BA9" w:rsidRPr="00C0152C">
        <w:rPr>
          <w:rFonts w:ascii="David" w:hAnsi="David" w:cs="David"/>
          <w:b/>
          <w:bCs/>
          <w:sz w:val="24"/>
          <w:szCs w:val="24"/>
          <w:rtl/>
        </w:rPr>
        <w:t>נ</w:t>
      </w:r>
      <w:r w:rsidR="000814C4" w:rsidRPr="00C0152C">
        <w:rPr>
          <w:rFonts w:ascii="David" w:hAnsi="David" w:cs="David"/>
          <w:b/>
          <w:bCs/>
          <w:sz w:val="24"/>
          <w:szCs w:val="24"/>
          <w:rtl/>
        </w:rPr>
        <w:t>ם אשת</w:t>
      </w:r>
      <w:r w:rsidR="00113BA9" w:rsidRPr="00C0152C">
        <w:rPr>
          <w:rFonts w:ascii="David" w:hAnsi="David" w:cs="David"/>
          <w:b/>
          <w:bCs/>
          <w:sz w:val="24"/>
          <w:szCs w:val="24"/>
          <w:rtl/>
        </w:rPr>
        <w:t>ו</w:t>
      </w:r>
      <w:r w:rsidR="000814C4" w:rsidRPr="00C0152C">
        <w:rPr>
          <w:rFonts w:ascii="David" w:hAnsi="David" w:cs="David"/>
          <w:b/>
          <w:bCs/>
          <w:sz w:val="24"/>
          <w:szCs w:val="24"/>
          <w:rtl/>
        </w:rPr>
        <w:t xml:space="preserve"> ובתו, קרי, התובע</w:t>
      </w:r>
      <w:r w:rsidR="00113BA9" w:rsidRPr="00C0152C">
        <w:rPr>
          <w:rFonts w:ascii="David" w:hAnsi="David" w:cs="David"/>
          <w:b/>
          <w:bCs/>
          <w:sz w:val="24"/>
          <w:szCs w:val="24"/>
          <w:rtl/>
        </w:rPr>
        <w:t>ו</w:t>
      </w:r>
      <w:r w:rsidR="000814C4" w:rsidRPr="00C0152C">
        <w:rPr>
          <w:rFonts w:ascii="David" w:hAnsi="David" w:cs="David"/>
          <w:b/>
          <w:bCs/>
          <w:sz w:val="24"/>
          <w:szCs w:val="24"/>
          <w:rtl/>
        </w:rPr>
        <w:t xml:space="preserve">ת. </w:t>
      </w:r>
    </w:p>
    <w:p w:rsidR="000814C4" w:rsidRPr="00C0152C" w:rsidRDefault="000814C4" w:rsidP="00C0152C">
      <w:pPr>
        <w:pStyle w:val="ad"/>
        <w:spacing w:after="0" w:line="360" w:lineRule="auto"/>
        <w:ind w:left="708" w:right="284" w:hanging="425"/>
        <w:jc w:val="both"/>
        <w:rPr>
          <w:rFonts w:ascii="David" w:hAnsi="David" w:cs="David"/>
          <w:b/>
          <w:bCs/>
          <w:sz w:val="24"/>
          <w:szCs w:val="24"/>
          <w:rtl/>
        </w:rPr>
      </w:pPr>
      <w:r w:rsidRPr="00C0152C">
        <w:rPr>
          <w:rFonts w:ascii="David" w:hAnsi="David" w:cs="David"/>
          <w:b/>
          <w:bCs/>
          <w:sz w:val="24"/>
          <w:szCs w:val="24"/>
          <w:rtl/>
        </w:rPr>
        <w:t xml:space="preserve">8. </w:t>
      </w:r>
      <w:r w:rsidRPr="00C0152C">
        <w:rPr>
          <w:rFonts w:ascii="David" w:hAnsi="David" w:cs="David"/>
          <w:b/>
          <w:bCs/>
          <w:sz w:val="24"/>
          <w:szCs w:val="24"/>
          <w:rtl/>
        </w:rPr>
        <w:tab/>
        <w:t xml:space="preserve">בעניינינו סעיף 2  לחוק חל על המקרה שלנו ומכניס את הצדדים לגדרי הוראת החוק ולמונח "בן משפחתו". </w:t>
      </w:r>
    </w:p>
    <w:p w:rsidR="000814C4" w:rsidRPr="00C0152C" w:rsidRDefault="000814C4" w:rsidP="00C0152C">
      <w:pPr>
        <w:pStyle w:val="ad"/>
        <w:spacing w:after="0" w:line="360" w:lineRule="auto"/>
        <w:ind w:hanging="720"/>
        <w:jc w:val="both"/>
        <w:rPr>
          <w:rFonts w:ascii="David" w:hAnsi="David" w:cs="David"/>
          <w:sz w:val="24"/>
          <w:szCs w:val="24"/>
          <w:rtl/>
        </w:rPr>
      </w:pPr>
    </w:p>
    <w:p w:rsidR="000814C4" w:rsidRPr="00C0152C" w:rsidRDefault="000814C4" w:rsidP="00C0152C">
      <w:pPr>
        <w:spacing w:line="360" w:lineRule="auto"/>
        <w:ind w:left="283"/>
        <w:jc w:val="both"/>
        <w:rPr>
          <w:rFonts w:ascii="David" w:hAnsi="David"/>
          <w:rtl/>
        </w:rPr>
      </w:pPr>
      <w:r w:rsidRPr="00C0152C">
        <w:rPr>
          <w:rFonts w:ascii="David" w:hAnsi="David"/>
          <w:rtl/>
        </w:rPr>
        <w:lastRenderedPageBreak/>
        <w:t>וגם (סעיף 11 לתגובה):</w:t>
      </w:r>
    </w:p>
    <w:p w:rsidR="000814C4" w:rsidRPr="00C0152C" w:rsidRDefault="000814C4" w:rsidP="00C0152C">
      <w:pPr>
        <w:spacing w:line="360" w:lineRule="auto"/>
        <w:ind w:left="283"/>
        <w:jc w:val="both"/>
        <w:rPr>
          <w:rFonts w:ascii="David" w:hAnsi="David"/>
          <w:rtl/>
        </w:rPr>
      </w:pPr>
      <w:r w:rsidRPr="00C0152C">
        <w:rPr>
          <w:rFonts w:ascii="David" w:hAnsi="David"/>
        </w:rPr>
        <w:drawing>
          <wp:inline distT="0" distB="0" distL="0" distR="0" wp14:anchorId="1F0CD33F" wp14:editId="4A10C944">
            <wp:extent cx="5114925" cy="352425"/>
            <wp:effectExtent l="0" t="0" r="9525" b="952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4925" cy="352425"/>
                    </a:xfrm>
                    <a:prstGeom prst="rect">
                      <a:avLst/>
                    </a:prstGeom>
                    <a:noFill/>
                    <a:ln>
                      <a:noFill/>
                    </a:ln>
                  </pic:spPr>
                </pic:pic>
              </a:graphicData>
            </a:graphic>
          </wp:inline>
        </w:drawing>
      </w:r>
    </w:p>
    <w:p w:rsidR="000814C4" w:rsidRPr="00C0152C" w:rsidRDefault="000814C4" w:rsidP="00C0152C">
      <w:pPr>
        <w:spacing w:line="360" w:lineRule="auto"/>
        <w:jc w:val="both"/>
        <w:rPr>
          <w:rFonts w:ascii="David" w:hAnsi="David"/>
          <w:b/>
          <w:bCs/>
          <w:u w:val="single"/>
          <w:rtl/>
        </w:rPr>
      </w:pP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t>דיון והכרעה:</w:t>
      </w:r>
    </w:p>
    <w:p w:rsidR="000814C4" w:rsidRPr="00C0152C" w:rsidRDefault="000814C4" w:rsidP="00C0152C">
      <w:pPr>
        <w:spacing w:line="360" w:lineRule="auto"/>
        <w:jc w:val="both"/>
        <w:rPr>
          <w:rFonts w:ascii="David" w:hAnsi="David"/>
          <w:b/>
          <w:bCs/>
          <w:u w:val="single"/>
          <w:rtl/>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 xml:space="preserve">אקדים אחרית לראשית ואציין כי מצאתי כי הסמכות לדון בתובענה נתונה לבית משפט זה, והכל כפי שיבואר להלן. </w:t>
      </w:r>
    </w:p>
    <w:p w:rsidR="000814C4" w:rsidRPr="00C0152C" w:rsidRDefault="000814C4" w:rsidP="00C0152C">
      <w:pPr>
        <w:pStyle w:val="ad"/>
        <w:spacing w:after="0" w:line="360" w:lineRule="auto"/>
        <w:ind w:left="368"/>
        <w:jc w:val="both"/>
        <w:rPr>
          <w:rFonts w:ascii="David" w:hAnsi="David" w:cs="David"/>
          <w:b/>
          <w:bCs/>
          <w:sz w:val="24"/>
          <w:szCs w:val="24"/>
          <w:u w:val="single"/>
        </w:rPr>
      </w:pP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t>האם לבית המשפט לענייני משפחה סמכות עניינית לדון בתובענה?</w:t>
      </w:r>
    </w:p>
    <w:p w:rsidR="000814C4" w:rsidRPr="00C0152C" w:rsidRDefault="000814C4" w:rsidP="00C0152C">
      <w:pPr>
        <w:spacing w:line="360" w:lineRule="auto"/>
        <w:jc w:val="both"/>
        <w:rPr>
          <w:rFonts w:ascii="David" w:hAnsi="David"/>
          <w:b/>
          <w:bCs/>
          <w:u w:val="single"/>
          <w:rtl/>
        </w:rPr>
      </w:pPr>
    </w:p>
    <w:p w:rsidR="000814C4" w:rsidRPr="00C0152C" w:rsidRDefault="000814C4" w:rsidP="00C0152C">
      <w:pPr>
        <w:pStyle w:val="ad"/>
        <w:numPr>
          <w:ilvl w:val="0"/>
          <w:numId w:val="1"/>
        </w:numPr>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spacing w:val="10"/>
          <w:sz w:val="24"/>
          <w:szCs w:val="24"/>
          <w:rtl/>
        </w:rPr>
        <w:t>לדידי, התשובה לשאלה זו היא חיובית. ואלו טעמיי.</w:t>
      </w:r>
    </w:p>
    <w:p w:rsidR="000814C4" w:rsidRPr="00C0152C" w:rsidRDefault="000814C4" w:rsidP="00C0152C">
      <w:pPr>
        <w:pStyle w:val="ad"/>
        <w:tabs>
          <w:tab w:val="left" w:pos="368"/>
          <w:tab w:val="left" w:pos="509"/>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814C4" w:rsidRPr="00C0152C" w:rsidRDefault="00E051A4" w:rsidP="00C0152C">
      <w:pPr>
        <w:pStyle w:val="ad"/>
        <w:numPr>
          <w:ilvl w:val="0"/>
          <w:numId w:val="1"/>
        </w:numPr>
        <w:tabs>
          <w:tab w:val="left" w:pos="800"/>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hyperlink r:id="rId14" w:history="1">
        <w:r w:rsidR="000814C4" w:rsidRPr="00C0152C">
          <w:rPr>
            <w:rStyle w:val="Hyperlink"/>
            <w:rFonts w:ascii="David" w:eastAsia="Times New Roman" w:hAnsi="David" w:cs="David"/>
            <w:color w:val="auto"/>
            <w:spacing w:val="10"/>
            <w:sz w:val="24"/>
            <w:szCs w:val="24"/>
            <w:u w:val="none"/>
            <w:rtl/>
          </w:rPr>
          <w:t>סעיף 3(א)</w:t>
        </w:r>
      </w:hyperlink>
      <w:r w:rsidR="000814C4" w:rsidRPr="00C0152C">
        <w:rPr>
          <w:rFonts w:ascii="David" w:eastAsia="Times New Roman" w:hAnsi="David" w:cs="David"/>
          <w:spacing w:val="10"/>
          <w:sz w:val="24"/>
          <w:szCs w:val="24"/>
          <w:rtl/>
        </w:rPr>
        <w:t xml:space="preserve"> </w:t>
      </w:r>
      <w:r w:rsidR="000814C4" w:rsidRPr="00C0152C">
        <w:rPr>
          <w:rFonts w:ascii="David" w:eastAsia="Times New Roman" w:hAnsi="David" w:cs="David"/>
          <w:sz w:val="24"/>
          <w:szCs w:val="24"/>
          <w:rtl/>
        </w:rPr>
        <w:t xml:space="preserve">לחוק בית המשפט לענייני משפחה, תשנ"ה-1995 </w:t>
      </w:r>
      <w:r w:rsidR="000814C4" w:rsidRPr="00C0152C">
        <w:rPr>
          <w:rFonts w:ascii="David" w:eastAsia="Times New Roman" w:hAnsi="David" w:cs="David"/>
          <w:spacing w:val="10"/>
          <w:sz w:val="24"/>
          <w:szCs w:val="24"/>
          <w:rtl/>
        </w:rPr>
        <w:t>(להלן: "</w:t>
      </w:r>
      <w:r w:rsidR="000814C4" w:rsidRPr="00C0152C">
        <w:rPr>
          <w:rFonts w:ascii="David" w:eastAsia="Times New Roman" w:hAnsi="David" w:cs="David"/>
          <w:b/>
          <w:bCs/>
          <w:spacing w:val="10"/>
          <w:sz w:val="24"/>
          <w:szCs w:val="24"/>
          <w:rtl/>
        </w:rPr>
        <w:t>חוק בית המשפט לענייני משפחה</w:t>
      </w:r>
      <w:r w:rsidR="000814C4" w:rsidRPr="00C0152C">
        <w:rPr>
          <w:rFonts w:ascii="David" w:eastAsia="Times New Roman" w:hAnsi="David" w:cs="David"/>
          <w:spacing w:val="10"/>
          <w:sz w:val="24"/>
          <w:szCs w:val="24"/>
          <w:rtl/>
        </w:rPr>
        <w:t>") קובע כדלקמן:</w:t>
      </w:r>
      <w:r w:rsidR="000814C4" w:rsidRPr="00C0152C">
        <w:rPr>
          <w:rFonts w:ascii="David" w:hAnsi="David" w:cs="David"/>
          <w:sz w:val="24"/>
          <w:szCs w:val="24"/>
          <w:shd w:val="clear" w:color="auto" w:fill="FFFFFF"/>
          <w:rtl/>
        </w:rPr>
        <w:t xml:space="preserve"> "</w:t>
      </w:r>
      <w:r w:rsidR="000814C4" w:rsidRPr="00C0152C">
        <w:rPr>
          <w:rFonts w:ascii="David" w:hAnsi="David" w:cs="David"/>
          <w:b/>
          <w:bCs/>
          <w:sz w:val="24"/>
          <w:szCs w:val="24"/>
          <w:shd w:val="clear" w:color="auto" w:fill="FFFFFF"/>
          <w:rtl/>
        </w:rPr>
        <w:t>עניני משפחה לפי חוק זה יידונו בבית המשפט לעניני משפחה"</w:t>
      </w:r>
      <w:r w:rsidR="000814C4" w:rsidRPr="00C0152C">
        <w:rPr>
          <w:rFonts w:ascii="David" w:hAnsi="David" w:cs="David"/>
          <w:b/>
          <w:bCs/>
          <w:sz w:val="24"/>
          <w:szCs w:val="24"/>
          <w:shd w:val="clear" w:color="auto" w:fill="FFFFFF"/>
        </w:rPr>
        <w:t>.</w:t>
      </w:r>
      <w:r w:rsidR="000814C4" w:rsidRPr="00C0152C">
        <w:rPr>
          <w:rFonts w:ascii="David" w:hAnsi="David" w:cs="David"/>
          <w:b/>
          <w:bCs/>
          <w:sz w:val="24"/>
          <w:szCs w:val="24"/>
          <w:shd w:val="clear" w:color="auto" w:fill="FFFFFF"/>
          <w:rtl/>
        </w:rPr>
        <w:t xml:space="preserve"> </w:t>
      </w:r>
      <w:hyperlink r:id="rId15" w:history="1">
        <w:r w:rsidR="000814C4" w:rsidRPr="00C0152C">
          <w:rPr>
            <w:rStyle w:val="Hyperlink"/>
            <w:rFonts w:ascii="David" w:eastAsia="Times New Roman" w:hAnsi="David" w:cs="David"/>
            <w:color w:val="auto"/>
            <w:spacing w:val="10"/>
            <w:sz w:val="24"/>
            <w:szCs w:val="24"/>
            <w:u w:val="none"/>
            <w:rtl/>
          </w:rPr>
          <w:t>סעיף 1(2)</w:t>
        </w:r>
      </w:hyperlink>
      <w:r w:rsidR="000814C4" w:rsidRPr="00C0152C">
        <w:rPr>
          <w:rFonts w:ascii="David" w:eastAsia="Times New Roman" w:hAnsi="David" w:cs="David"/>
          <w:spacing w:val="10"/>
          <w:sz w:val="24"/>
          <w:szCs w:val="24"/>
          <w:rtl/>
        </w:rPr>
        <w:t xml:space="preserve"> לחוק האמור, קובע בהא לישנא: </w:t>
      </w:r>
    </w:p>
    <w:p w:rsidR="000814C4" w:rsidRPr="00C0152C" w:rsidRDefault="000814C4" w:rsidP="00C0152C">
      <w:pPr>
        <w:tabs>
          <w:tab w:val="left" w:pos="567"/>
          <w:tab w:val="left" w:pos="1440"/>
          <w:tab w:val="left" w:pos="2160"/>
          <w:tab w:val="left" w:pos="2880"/>
          <w:tab w:val="left" w:pos="3600"/>
        </w:tabs>
        <w:spacing w:line="360" w:lineRule="auto"/>
        <w:ind w:left="720" w:hanging="437"/>
        <w:jc w:val="both"/>
        <w:rPr>
          <w:rFonts w:ascii="David" w:eastAsiaTheme="minorEastAsia" w:hAnsi="David"/>
          <w:b/>
          <w:bCs/>
        </w:rPr>
      </w:pPr>
      <w:bookmarkStart w:id="0" w:name="h1"/>
      <w:bookmarkEnd w:id="0"/>
      <w:r w:rsidRPr="00C0152C">
        <w:rPr>
          <w:rFonts w:ascii="David" w:eastAsiaTheme="minorEastAsia" w:hAnsi="David"/>
          <w:b/>
          <w:bCs/>
          <w:rtl/>
        </w:rPr>
        <w:t>"1.</w:t>
      </w:r>
      <w:r w:rsidRPr="00C0152C">
        <w:rPr>
          <w:rFonts w:ascii="David" w:eastAsiaTheme="minorEastAsia" w:hAnsi="David"/>
          <w:b/>
          <w:bCs/>
          <w:rtl/>
        </w:rPr>
        <w:tab/>
        <w:t>בחוק זה, "עניני משפחה" – אחת מאלה:</w:t>
      </w:r>
    </w:p>
    <w:p w:rsidR="000814C4" w:rsidRPr="00C0152C" w:rsidRDefault="000814C4" w:rsidP="00C0152C">
      <w:pPr>
        <w:tabs>
          <w:tab w:val="left" w:pos="567"/>
          <w:tab w:val="left" w:pos="1440"/>
          <w:tab w:val="left" w:pos="2160"/>
          <w:tab w:val="left" w:pos="2880"/>
          <w:tab w:val="left" w:pos="3600"/>
        </w:tabs>
        <w:spacing w:line="360" w:lineRule="auto"/>
        <w:ind w:left="1440" w:hanging="437"/>
        <w:jc w:val="both"/>
        <w:rPr>
          <w:rFonts w:ascii="David" w:eastAsiaTheme="minorEastAsia" w:hAnsi="David"/>
          <w:b/>
          <w:bCs/>
        </w:rPr>
      </w:pPr>
      <w:r w:rsidRPr="00C0152C">
        <w:rPr>
          <w:rFonts w:ascii="David" w:eastAsiaTheme="minorEastAsia" w:hAnsi="David"/>
          <w:b/>
          <w:bCs/>
          <w:rtl/>
        </w:rPr>
        <w:t>(1)</w:t>
      </w:r>
      <w:r w:rsidRPr="00C0152C">
        <w:rPr>
          <w:rFonts w:ascii="David" w:eastAsiaTheme="minorEastAsia" w:hAnsi="David"/>
          <w:b/>
          <w:bCs/>
          <w:rtl/>
        </w:rPr>
        <w:tab/>
        <w:t>תובענה בעניני המעמד האישי, כמשמעותם בדברי המלך במועצה על ארץ-ישראל, 1947-1922, למעט הנהלת נכסי אנשים נעדרים;</w:t>
      </w:r>
    </w:p>
    <w:p w:rsidR="000814C4" w:rsidRPr="00C0152C" w:rsidRDefault="000814C4" w:rsidP="00C0152C">
      <w:pPr>
        <w:tabs>
          <w:tab w:val="left" w:pos="567"/>
          <w:tab w:val="left" w:pos="1440"/>
          <w:tab w:val="left" w:pos="2160"/>
          <w:tab w:val="left" w:pos="2880"/>
          <w:tab w:val="left" w:pos="3600"/>
        </w:tabs>
        <w:spacing w:line="360" w:lineRule="auto"/>
        <w:ind w:left="1440" w:hanging="437"/>
        <w:jc w:val="both"/>
        <w:rPr>
          <w:rFonts w:ascii="David" w:eastAsiaTheme="minorEastAsia" w:hAnsi="David"/>
          <w:b/>
          <w:bCs/>
        </w:rPr>
      </w:pPr>
      <w:r w:rsidRPr="00C0152C">
        <w:rPr>
          <w:rFonts w:ascii="David" w:eastAsiaTheme="minorEastAsia" w:hAnsi="David"/>
          <w:b/>
          <w:bCs/>
          <w:rtl/>
        </w:rPr>
        <w:t>(2)</w:t>
      </w:r>
      <w:r w:rsidRPr="00C0152C">
        <w:rPr>
          <w:rFonts w:ascii="David" w:eastAsiaTheme="minorEastAsia" w:hAnsi="David"/>
          <w:b/>
          <w:bCs/>
          <w:rtl/>
        </w:rPr>
        <w:tab/>
        <w:t>תובענה אזרחית בין אדם או עזבונו לבין בן משפחתו, או עזבונו, שעילתה סכסוך בתוך המשפחה, יהא נושאה או שוויה אשר יהא;  לענין פסקה זו –</w:t>
      </w:r>
    </w:p>
    <w:p w:rsidR="000814C4" w:rsidRPr="00C0152C" w:rsidRDefault="000814C4" w:rsidP="00C0152C">
      <w:pPr>
        <w:tabs>
          <w:tab w:val="left" w:pos="567"/>
          <w:tab w:val="left" w:pos="1440"/>
          <w:tab w:val="left" w:pos="2160"/>
          <w:tab w:val="left" w:pos="2880"/>
          <w:tab w:val="left" w:pos="3600"/>
        </w:tabs>
        <w:spacing w:line="360" w:lineRule="auto"/>
        <w:ind w:left="1440" w:hanging="437"/>
        <w:jc w:val="both"/>
        <w:rPr>
          <w:rFonts w:ascii="David" w:eastAsiaTheme="minorEastAsia" w:hAnsi="David"/>
          <w:b/>
          <w:bCs/>
        </w:rPr>
      </w:pPr>
      <w:r w:rsidRPr="00C0152C">
        <w:rPr>
          <w:rFonts w:ascii="David" w:eastAsiaTheme="minorEastAsia" w:hAnsi="David"/>
          <w:b/>
          <w:bCs/>
          <w:rtl/>
        </w:rPr>
        <w:t>"בן משפחתו" –</w:t>
      </w:r>
    </w:p>
    <w:p w:rsidR="000814C4" w:rsidRPr="00C0152C" w:rsidRDefault="000814C4" w:rsidP="00C0152C">
      <w:pPr>
        <w:tabs>
          <w:tab w:val="left" w:pos="567"/>
          <w:tab w:val="left" w:pos="1440"/>
          <w:tab w:val="left" w:pos="2160"/>
          <w:tab w:val="left" w:pos="2880"/>
          <w:tab w:val="left" w:pos="3600"/>
        </w:tabs>
        <w:spacing w:line="360" w:lineRule="auto"/>
        <w:ind w:left="2880" w:hanging="437"/>
        <w:jc w:val="both"/>
        <w:rPr>
          <w:rFonts w:ascii="David" w:eastAsiaTheme="minorEastAsia" w:hAnsi="David"/>
          <w:b/>
          <w:bCs/>
        </w:rPr>
      </w:pPr>
      <w:r w:rsidRPr="00C0152C">
        <w:rPr>
          <w:rFonts w:ascii="David" w:eastAsiaTheme="minorEastAsia" w:hAnsi="David"/>
          <w:b/>
          <w:bCs/>
          <w:rtl/>
        </w:rPr>
        <w:t>(א)</w:t>
      </w:r>
      <w:r w:rsidRPr="00C0152C">
        <w:rPr>
          <w:rFonts w:ascii="David" w:eastAsiaTheme="minorEastAsia" w:hAnsi="David"/>
          <w:b/>
          <w:bCs/>
          <w:rtl/>
        </w:rPr>
        <w:tab/>
        <w:t>בן זוגו, לרבות הידועה בציבור כאישתו, בן זוגו לשעבר, בן זוגו שנישואיו עמו פקעו ובלבד שנושא התובענה נובע מהקשר שהיה ביניהם בתקופה שבה היו בני זוג;</w:t>
      </w:r>
    </w:p>
    <w:p w:rsidR="000814C4" w:rsidRPr="00C0152C" w:rsidRDefault="000814C4" w:rsidP="00C0152C">
      <w:pPr>
        <w:tabs>
          <w:tab w:val="left" w:pos="567"/>
          <w:tab w:val="left" w:pos="1440"/>
          <w:tab w:val="left" w:pos="2160"/>
          <w:tab w:val="left" w:pos="2880"/>
          <w:tab w:val="left" w:pos="3600"/>
        </w:tabs>
        <w:spacing w:line="360" w:lineRule="auto"/>
        <w:ind w:left="2880" w:hanging="437"/>
        <w:jc w:val="both"/>
        <w:rPr>
          <w:rFonts w:ascii="David" w:eastAsiaTheme="minorEastAsia" w:hAnsi="David"/>
          <w:b/>
          <w:bCs/>
        </w:rPr>
      </w:pPr>
      <w:r w:rsidRPr="00C0152C">
        <w:rPr>
          <w:rFonts w:ascii="David" w:eastAsiaTheme="minorEastAsia" w:hAnsi="David"/>
          <w:b/>
          <w:bCs/>
          <w:rtl/>
        </w:rPr>
        <w:t>(ב)</w:t>
      </w:r>
      <w:r w:rsidRPr="00C0152C">
        <w:rPr>
          <w:rFonts w:ascii="David" w:eastAsiaTheme="minorEastAsia" w:hAnsi="David"/>
          <w:b/>
          <w:bCs/>
          <w:rtl/>
        </w:rPr>
        <w:tab/>
        <w:t>ילדו, לרבות ילדו של בן זוגו;</w:t>
      </w:r>
    </w:p>
    <w:p w:rsidR="000814C4" w:rsidRPr="00C0152C" w:rsidRDefault="000814C4" w:rsidP="00C0152C">
      <w:pPr>
        <w:tabs>
          <w:tab w:val="left" w:pos="567"/>
          <w:tab w:val="left" w:pos="1440"/>
          <w:tab w:val="left" w:pos="2160"/>
          <w:tab w:val="left" w:pos="2880"/>
          <w:tab w:val="left" w:pos="3600"/>
        </w:tabs>
        <w:spacing w:line="360" w:lineRule="auto"/>
        <w:ind w:left="2880" w:hanging="437"/>
        <w:jc w:val="both"/>
        <w:rPr>
          <w:rFonts w:ascii="David" w:eastAsiaTheme="minorEastAsia" w:hAnsi="David"/>
          <w:b/>
          <w:bCs/>
        </w:rPr>
      </w:pPr>
      <w:r w:rsidRPr="00C0152C">
        <w:rPr>
          <w:rFonts w:ascii="David" w:eastAsiaTheme="minorEastAsia" w:hAnsi="David"/>
          <w:b/>
          <w:bCs/>
          <w:rtl/>
        </w:rPr>
        <w:t>(ג)</w:t>
      </w:r>
      <w:r w:rsidRPr="00C0152C">
        <w:rPr>
          <w:rFonts w:ascii="David" w:eastAsiaTheme="minorEastAsia" w:hAnsi="David"/>
          <w:b/>
          <w:bCs/>
          <w:rtl/>
        </w:rPr>
        <w:tab/>
        <w:t>הוריו, הורי בן זוגו או בני זוגם;</w:t>
      </w:r>
    </w:p>
    <w:p w:rsidR="000814C4" w:rsidRPr="00C0152C" w:rsidRDefault="000814C4" w:rsidP="00C0152C">
      <w:pPr>
        <w:tabs>
          <w:tab w:val="left" w:pos="567"/>
          <w:tab w:val="left" w:pos="1440"/>
          <w:tab w:val="left" w:pos="2160"/>
          <w:tab w:val="left" w:pos="2880"/>
          <w:tab w:val="left" w:pos="3600"/>
        </w:tabs>
        <w:spacing w:line="360" w:lineRule="auto"/>
        <w:ind w:left="2880" w:hanging="437"/>
        <w:jc w:val="both"/>
        <w:rPr>
          <w:rFonts w:ascii="David" w:eastAsiaTheme="minorEastAsia" w:hAnsi="David"/>
          <w:b/>
          <w:bCs/>
        </w:rPr>
      </w:pPr>
      <w:r w:rsidRPr="00C0152C">
        <w:rPr>
          <w:rFonts w:ascii="David" w:eastAsiaTheme="minorEastAsia" w:hAnsi="David"/>
          <w:b/>
          <w:bCs/>
          <w:rtl/>
        </w:rPr>
        <w:t>(ד)</w:t>
      </w:r>
      <w:r w:rsidRPr="00C0152C">
        <w:rPr>
          <w:rFonts w:ascii="David" w:eastAsiaTheme="minorEastAsia" w:hAnsi="David"/>
          <w:b/>
          <w:bCs/>
          <w:rtl/>
        </w:rPr>
        <w:tab/>
        <w:t>נכדו;</w:t>
      </w:r>
    </w:p>
    <w:p w:rsidR="000814C4" w:rsidRPr="00C0152C" w:rsidRDefault="000814C4" w:rsidP="00C0152C">
      <w:pPr>
        <w:tabs>
          <w:tab w:val="left" w:pos="567"/>
          <w:tab w:val="left" w:pos="1440"/>
          <w:tab w:val="left" w:pos="2160"/>
          <w:tab w:val="left" w:pos="2880"/>
          <w:tab w:val="left" w:pos="3600"/>
        </w:tabs>
        <w:spacing w:line="360" w:lineRule="auto"/>
        <w:ind w:left="2880" w:hanging="437"/>
        <w:jc w:val="both"/>
        <w:rPr>
          <w:rFonts w:ascii="David" w:eastAsiaTheme="minorEastAsia" w:hAnsi="David"/>
          <w:b/>
          <w:bCs/>
        </w:rPr>
      </w:pPr>
      <w:r w:rsidRPr="00C0152C">
        <w:rPr>
          <w:rFonts w:ascii="David" w:eastAsiaTheme="minorEastAsia" w:hAnsi="David"/>
          <w:b/>
          <w:bCs/>
          <w:rtl/>
        </w:rPr>
        <w:t>(ה)</w:t>
      </w:r>
      <w:r w:rsidRPr="00C0152C">
        <w:rPr>
          <w:rFonts w:ascii="David" w:eastAsiaTheme="minorEastAsia" w:hAnsi="David"/>
          <w:b/>
          <w:bCs/>
          <w:rtl/>
        </w:rPr>
        <w:tab/>
        <w:t>הורי הוריו;</w:t>
      </w:r>
    </w:p>
    <w:p w:rsidR="000814C4" w:rsidRPr="00C0152C" w:rsidRDefault="000814C4" w:rsidP="00C0152C">
      <w:pPr>
        <w:tabs>
          <w:tab w:val="left" w:pos="567"/>
          <w:tab w:val="left" w:pos="1440"/>
          <w:tab w:val="left" w:pos="2160"/>
          <w:tab w:val="left" w:pos="2880"/>
          <w:tab w:val="left" w:pos="3600"/>
        </w:tabs>
        <w:spacing w:line="360" w:lineRule="auto"/>
        <w:ind w:left="2880" w:hanging="437"/>
        <w:jc w:val="both"/>
        <w:rPr>
          <w:rFonts w:ascii="David" w:eastAsiaTheme="minorEastAsia" w:hAnsi="David"/>
          <w:b/>
          <w:bCs/>
        </w:rPr>
      </w:pPr>
      <w:r w:rsidRPr="00C0152C">
        <w:rPr>
          <w:rFonts w:ascii="David" w:eastAsiaTheme="minorEastAsia" w:hAnsi="David"/>
          <w:b/>
          <w:bCs/>
          <w:rtl/>
        </w:rPr>
        <w:t>(ו)</w:t>
      </w:r>
      <w:r w:rsidRPr="00C0152C">
        <w:rPr>
          <w:rFonts w:ascii="David" w:eastAsiaTheme="minorEastAsia" w:hAnsi="David"/>
          <w:b/>
          <w:bCs/>
          <w:rtl/>
        </w:rPr>
        <w:tab/>
        <w:t>אחיו ואחיותיו, שלו או של בן זוגו";</w:t>
      </w:r>
    </w:p>
    <w:p w:rsidR="000814C4" w:rsidRPr="00C0152C" w:rsidRDefault="000814C4" w:rsidP="00C0152C">
      <w:pPr>
        <w:tabs>
          <w:tab w:val="left" w:pos="567"/>
        </w:tabs>
        <w:spacing w:line="360" w:lineRule="auto"/>
        <w:ind w:hanging="437"/>
        <w:jc w:val="both"/>
        <w:rPr>
          <w:rFonts w:ascii="David" w:eastAsiaTheme="minorHAnsi" w:hAnsi="David"/>
          <w:b/>
          <w:bCs/>
        </w:rPr>
      </w:pPr>
    </w:p>
    <w:p w:rsidR="000814C4" w:rsidRPr="00C0152C" w:rsidRDefault="000814C4" w:rsidP="00C0152C">
      <w:pPr>
        <w:pStyle w:val="ad"/>
        <w:numPr>
          <w:ilvl w:val="0"/>
          <w:numId w:val="1"/>
        </w:numPr>
        <w:tabs>
          <w:tab w:val="left" w:pos="368"/>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spacing w:val="10"/>
          <w:sz w:val="24"/>
          <w:szCs w:val="24"/>
          <w:rtl/>
        </w:rPr>
        <w:t xml:space="preserve">הלכה היא כי: </w:t>
      </w:r>
      <w:r w:rsidRPr="00C0152C">
        <w:rPr>
          <w:rFonts w:ascii="David" w:eastAsia="Times New Roman" w:hAnsi="David" w:cs="David"/>
          <w:b/>
          <w:bCs/>
          <w:spacing w:val="10"/>
          <w:sz w:val="24"/>
          <w:szCs w:val="24"/>
          <w:rtl/>
        </w:rPr>
        <w:t xml:space="preserve">"...נדרשים שני תנאים לכינון סמכותו של בית המשפט לענייני משפחה: </w:t>
      </w:r>
      <w:r w:rsidRPr="00C0152C">
        <w:rPr>
          <w:rFonts w:ascii="David" w:eastAsia="Times New Roman" w:hAnsi="David" w:cs="David"/>
          <w:b/>
          <w:bCs/>
          <w:sz w:val="24"/>
          <w:szCs w:val="24"/>
          <w:rtl/>
        </w:rPr>
        <w:t>האחד</w:t>
      </w:r>
      <w:r w:rsidRPr="00C0152C">
        <w:rPr>
          <w:rFonts w:ascii="David" w:eastAsia="Times New Roman" w:hAnsi="David" w:cs="David"/>
          <w:b/>
          <w:bCs/>
          <w:spacing w:val="10"/>
          <w:sz w:val="24"/>
          <w:szCs w:val="24"/>
          <w:rtl/>
        </w:rPr>
        <w:t xml:space="preserve">, כי התובענה הנדונה מתנהלת בין בני משפחה, כהגדרתם לעיל; </w:t>
      </w:r>
      <w:r w:rsidRPr="00C0152C">
        <w:rPr>
          <w:rFonts w:ascii="David" w:eastAsia="Times New Roman" w:hAnsi="David" w:cs="David"/>
          <w:b/>
          <w:bCs/>
          <w:sz w:val="24"/>
          <w:szCs w:val="24"/>
          <w:rtl/>
        </w:rPr>
        <w:t>והשני</w:t>
      </w:r>
      <w:r w:rsidRPr="00C0152C">
        <w:rPr>
          <w:rFonts w:ascii="David" w:eastAsia="Times New Roman" w:hAnsi="David" w:cs="David"/>
          <w:b/>
          <w:bCs/>
          <w:spacing w:val="10"/>
          <w:sz w:val="24"/>
          <w:szCs w:val="24"/>
          <w:rtl/>
        </w:rPr>
        <w:t xml:space="preserve">, כי מדובר בתובענה אזרחית שעילתה סכסוך בתוך המשפחה" </w:t>
      </w:r>
      <w:r w:rsidRPr="00C0152C">
        <w:rPr>
          <w:rFonts w:ascii="David" w:eastAsia="Times New Roman" w:hAnsi="David" w:cs="David"/>
          <w:spacing w:val="10"/>
          <w:sz w:val="24"/>
          <w:szCs w:val="24"/>
          <w:rtl/>
        </w:rPr>
        <w:t>(ראו:</w:t>
      </w:r>
      <w:r w:rsidRPr="00C0152C">
        <w:rPr>
          <w:rFonts w:ascii="David" w:eastAsia="Times New Roman" w:hAnsi="David" w:cs="David"/>
          <w:b/>
          <w:bCs/>
          <w:spacing w:val="10"/>
          <w:sz w:val="24"/>
          <w:szCs w:val="24"/>
          <w:rtl/>
        </w:rPr>
        <w:t xml:space="preserve"> </w:t>
      </w:r>
      <w:r w:rsidRPr="00C0152C">
        <w:rPr>
          <w:rFonts w:ascii="David" w:eastAsia="Times New Roman" w:hAnsi="David" w:cs="David"/>
          <w:spacing w:val="10"/>
          <w:sz w:val="24"/>
          <w:szCs w:val="24"/>
          <w:rtl/>
        </w:rPr>
        <w:t>רע"א 672/22 פלוני נ' פלוני [פורסם בנבו] (27.6.22) להלן: "</w:t>
      </w:r>
      <w:r w:rsidRPr="00C0152C">
        <w:rPr>
          <w:rFonts w:ascii="David" w:eastAsia="Times New Roman" w:hAnsi="David" w:cs="David"/>
          <w:b/>
          <w:bCs/>
          <w:spacing w:val="10"/>
          <w:sz w:val="24"/>
          <w:szCs w:val="24"/>
          <w:rtl/>
        </w:rPr>
        <w:t>רע"א 672/22</w:t>
      </w:r>
      <w:r w:rsidRPr="00C0152C">
        <w:rPr>
          <w:rFonts w:ascii="David" w:eastAsia="Times New Roman" w:hAnsi="David" w:cs="David"/>
          <w:spacing w:val="10"/>
          <w:sz w:val="24"/>
          <w:szCs w:val="24"/>
          <w:rtl/>
        </w:rPr>
        <w:t>" בפסקה 13 לפסק דינה של כב' השופטת יעל וילנר).</w:t>
      </w:r>
    </w:p>
    <w:p w:rsidR="000814C4" w:rsidRPr="00C0152C" w:rsidRDefault="000814C4" w:rsidP="00C0152C">
      <w:pPr>
        <w:pStyle w:val="ad"/>
        <w:tabs>
          <w:tab w:val="left" w:pos="368"/>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b/>
          <w:bCs/>
          <w:spacing w:val="10"/>
          <w:sz w:val="24"/>
          <w:szCs w:val="24"/>
          <w:u w:val="single"/>
          <w:rtl/>
        </w:rPr>
        <w:t>לעניין התנאי הראשון לכינון סמכותו של בית המשפט לענייני משפחה</w:t>
      </w:r>
      <w:r w:rsidRPr="00C0152C">
        <w:rPr>
          <w:rFonts w:ascii="David" w:eastAsia="Times New Roman" w:hAnsi="David" w:cs="David"/>
          <w:b/>
          <w:bCs/>
          <w:spacing w:val="10"/>
          <w:sz w:val="24"/>
          <w:szCs w:val="24"/>
          <w:rtl/>
        </w:rPr>
        <w:t xml:space="preserve">- </w:t>
      </w:r>
      <w:r w:rsidRPr="00C0152C">
        <w:rPr>
          <w:rFonts w:ascii="David" w:eastAsia="Times New Roman" w:hAnsi="David" w:cs="David"/>
          <w:spacing w:val="10"/>
          <w:sz w:val="24"/>
          <w:szCs w:val="24"/>
          <w:rtl/>
        </w:rPr>
        <w:t xml:space="preserve">נפסק לעניין סעיף 1 (2) (ו) לחוק בית המשפט לענייני משפחה כי גם לאחר פטירת אדם יש לראות בו "בן זוג" לעניין סעיף 1(2)(ו) לחוק האמור, החל על סכסוכים בין אחי המנוח לבן זוגו (ראו: בע"מ 3885/18 פלוני נ' פלוני [פורסם בנבו] (‏24.6.2019)). </w:t>
      </w:r>
      <w:r w:rsidRPr="00C0152C">
        <w:rPr>
          <w:rFonts w:ascii="David" w:eastAsia="Times New Roman" w:hAnsi="David" w:cs="David"/>
          <w:b/>
          <w:bCs/>
          <w:spacing w:val="10"/>
          <w:sz w:val="24"/>
          <w:szCs w:val="24"/>
          <w:u w:val="single"/>
          <w:rtl/>
        </w:rPr>
        <w:t>במקרה דנן</w:t>
      </w:r>
      <w:r w:rsidRPr="00C0152C">
        <w:rPr>
          <w:rFonts w:ascii="David" w:eastAsia="Times New Roman" w:hAnsi="David" w:cs="David"/>
          <w:b/>
          <w:bCs/>
          <w:spacing w:val="10"/>
          <w:sz w:val="24"/>
          <w:szCs w:val="24"/>
          <w:rtl/>
        </w:rPr>
        <w:t>,</w:t>
      </w:r>
      <w:r w:rsidRPr="00C0152C">
        <w:rPr>
          <w:rFonts w:ascii="David" w:eastAsia="Times New Roman" w:hAnsi="David" w:cs="David"/>
          <w:spacing w:val="10"/>
          <w:sz w:val="24"/>
          <w:szCs w:val="24"/>
          <w:rtl/>
        </w:rPr>
        <w:t xml:space="preserve"> כמפורט לעיל, התביעה שבפניי הינה תביעה לפירוק שיתוף בחלקה, אשר הוגשה על ידי </w:t>
      </w:r>
      <w:r w:rsidR="00113BA9" w:rsidRPr="00C0152C">
        <w:rPr>
          <w:rFonts w:ascii="David" w:eastAsia="Times New Roman" w:hAnsi="David" w:cs="David"/>
          <w:spacing w:val="10"/>
          <w:sz w:val="24"/>
          <w:szCs w:val="24"/>
          <w:rtl/>
        </w:rPr>
        <w:t>פלונית</w:t>
      </w:r>
      <w:r w:rsidRPr="00C0152C">
        <w:rPr>
          <w:rFonts w:ascii="David" w:eastAsia="Times New Roman" w:hAnsi="David" w:cs="David"/>
          <w:spacing w:val="10"/>
          <w:sz w:val="24"/>
          <w:szCs w:val="24"/>
          <w:rtl/>
        </w:rPr>
        <w:t xml:space="preserve">, שהיא אלמנת האח המנוח. נוכח ההלכה האמורה, המבקש הוא אחי בן זוגה המנוח של </w:t>
      </w:r>
      <w:r w:rsidR="00113BA9" w:rsidRPr="00C0152C">
        <w:rPr>
          <w:rFonts w:ascii="David" w:eastAsia="Times New Roman" w:hAnsi="David" w:cs="David"/>
          <w:spacing w:val="10"/>
          <w:sz w:val="24"/>
          <w:szCs w:val="24"/>
          <w:rtl/>
        </w:rPr>
        <w:t>פלונית</w:t>
      </w:r>
      <w:r w:rsidRPr="00C0152C">
        <w:rPr>
          <w:rFonts w:ascii="David" w:eastAsia="Times New Roman" w:hAnsi="David" w:cs="David"/>
          <w:spacing w:val="10"/>
          <w:sz w:val="24"/>
          <w:szCs w:val="24"/>
          <w:rtl/>
        </w:rPr>
        <w:t xml:space="preserve">, ויש לראות בו "בן משפחה" לעניין הסמכות העניינית של בימ"ש לענייני משפחה. מכאן כי </w:t>
      </w:r>
      <w:r w:rsidRPr="00C0152C">
        <w:rPr>
          <w:rFonts w:ascii="David" w:eastAsia="Times New Roman" w:hAnsi="David" w:cs="David"/>
          <w:spacing w:val="10"/>
          <w:sz w:val="24"/>
          <w:szCs w:val="24"/>
          <w:u w:val="single"/>
          <w:rtl/>
        </w:rPr>
        <w:t>התנאי הראשון מתקיים בנדון</w:t>
      </w:r>
      <w:r w:rsidRPr="00C0152C">
        <w:rPr>
          <w:rFonts w:ascii="David" w:eastAsia="Times New Roman" w:hAnsi="David" w:cs="David"/>
          <w:spacing w:val="10"/>
          <w:sz w:val="24"/>
          <w:szCs w:val="24"/>
          <w:rtl/>
        </w:rPr>
        <w:t>.</w:t>
      </w:r>
    </w:p>
    <w:p w:rsidR="000814C4" w:rsidRPr="00C0152C" w:rsidRDefault="000814C4" w:rsidP="00C0152C">
      <w:pPr>
        <w:pStyle w:val="ad"/>
        <w:spacing w:after="0" w:line="360" w:lineRule="auto"/>
        <w:jc w:val="both"/>
        <w:rPr>
          <w:rFonts w:ascii="David" w:eastAsia="Times New Roman" w:hAnsi="David" w:cs="David"/>
          <w:b/>
          <w:bCs/>
          <w:spacing w:val="10"/>
          <w:sz w:val="24"/>
          <w:szCs w:val="24"/>
          <w:u w:val="single"/>
          <w:rtl/>
        </w:rPr>
      </w:pPr>
    </w:p>
    <w:p w:rsidR="000814C4" w:rsidRPr="00C0152C" w:rsidRDefault="000814C4" w:rsidP="00C0152C">
      <w:pPr>
        <w:pStyle w:val="ad"/>
        <w:numPr>
          <w:ilvl w:val="0"/>
          <w:numId w:val="1"/>
        </w:numPr>
        <w:tabs>
          <w:tab w:val="left" w:pos="368"/>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b/>
          <w:bCs/>
          <w:spacing w:val="10"/>
          <w:sz w:val="24"/>
          <w:szCs w:val="24"/>
          <w:u w:val="single"/>
          <w:rtl/>
        </w:rPr>
        <w:t>לעניין התנאי השני לכינון סמכותו של בית המשפט לענייני משפחה</w:t>
      </w:r>
      <w:r w:rsidRPr="00C0152C">
        <w:rPr>
          <w:rFonts w:ascii="David" w:eastAsia="Times New Roman" w:hAnsi="David" w:cs="David"/>
          <w:b/>
          <w:bCs/>
          <w:spacing w:val="10"/>
          <w:sz w:val="24"/>
          <w:szCs w:val="24"/>
          <w:rtl/>
        </w:rPr>
        <w:t>-</w:t>
      </w:r>
      <w:r w:rsidRPr="00C0152C">
        <w:rPr>
          <w:rFonts w:ascii="David" w:eastAsia="Times New Roman" w:hAnsi="David" w:cs="David"/>
          <w:spacing w:val="10"/>
          <w:sz w:val="24"/>
          <w:szCs w:val="24"/>
          <w:rtl/>
        </w:rPr>
        <w:t xml:space="preserve"> ראו דברי כב' השופטת יעל וילנר ברע"א 672/22 (בפיסקאות 13-14 לפסק דינה): </w:t>
      </w:r>
      <w:r w:rsidRPr="00C0152C">
        <w:rPr>
          <w:rFonts w:ascii="David" w:eastAsia="Times New Roman" w:hAnsi="David" w:cs="David"/>
          <w:b/>
          <w:bCs/>
          <w:spacing w:val="10"/>
          <w:sz w:val="24"/>
          <w:szCs w:val="24"/>
          <w:rtl/>
        </w:rPr>
        <w:t>"התנאי השני פורש בפסיקה כנוגע למקור עילת התביעה או לסיבתה, ויש לבחון בגדרו אם הסכסוך המשפחתי תרם תרומה משמעותית לגיבוש עילת התביעה. עוד נקבע, כי לא די בקשר רחוק וזניח, אך גם אין צורך שהסכסוך המשפחתי יהא הסיבה הבלעדית להיווצרותה של עילת התביעה (ראו: עניין חבס, בעמ' 344; רע"א 6147/21 פלונית נ' פלוני, פס' 20 [פורסם בנבו] (18.11.2021)). כפי שציינתי אך לאחרונה, הלכה מושרשת היא כי השאלה אם עילת התביעה נעוצה בסכסוך משפחתי, תוכרע, בראש ובראשונה, על-פי העובדות והטענות העולות מכתבי הטענות של הצדדים – ראש וראשון בהם הוא כתב התביעה (ראו בהרחבה: עניין חבס, בעמ' 339; עניין פלונית, בפס' 23). עוד נקבע כי לצורך סיווג הסמכות, נבחנים גם נתונים אובייקטיבים שברקע הסכסוך המשפחתי, כמו משכו; מידת השותפות של בני המשפחה בסכסוך והאופן בו הם תופשים את אופי הסכסוך ביניהם; היקף הסכסוך. שאלה רלוונטית נוספת לצורך סיווג הסמכות, היא אם גורמים מקצועיים העומדים לרשות בית-המשפט לענייני משפחה יסייעו לפתרון המשבר המשפחתי (ראו בהרחבה: ע"א 1662/99 חיים נ' חיים, נו(6) 295, 309 (2002))".</w:t>
      </w:r>
    </w:p>
    <w:p w:rsidR="000814C4" w:rsidRPr="00C0152C" w:rsidRDefault="000814C4" w:rsidP="00C0152C">
      <w:pPr>
        <w:pStyle w:val="ad"/>
        <w:spacing w:after="0" w:line="360" w:lineRule="auto"/>
        <w:jc w:val="both"/>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b/>
          <w:bCs/>
          <w:spacing w:val="10"/>
          <w:sz w:val="24"/>
          <w:szCs w:val="24"/>
          <w:u w:val="single"/>
          <w:rtl/>
        </w:rPr>
        <w:t>במקרה דנן</w:t>
      </w:r>
      <w:r w:rsidRPr="00C0152C">
        <w:rPr>
          <w:rFonts w:ascii="David" w:eastAsia="Times New Roman" w:hAnsi="David" w:cs="David"/>
          <w:spacing w:val="10"/>
          <w:sz w:val="24"/>
          <w:szCs w:val="24"/>
          <w:rtl/>
        </w:rPr>
        <w:t>, כתבי הטענות של הצדדים מלמדים על האופי המשפחתי של הסכסוך, באופן החורג מסכסוך אזרחי "רגיל" (ראו והשוו: רע"א 672/22). כך, בכתב ההגנה טען המבקש כדלקמן (סעיף 15):</w:t>
      </w:r>
    </w:p>
    <w:p w:rsidR="000814C4" w:rsidRPr="00C0152C" w:rsidRDefault="000814C4" w:rsidP="00C0152C">
      <w:pPr>
        <w:pStyle w:val="ad"/>
        <w:spacing w:after="0" w:line="360" w:lineRule="auto"/>
        <w:ind w:left="992" w:hanging="720"/>
        <w:jc w:val="both"/>
        <w:rPr>
          <w:rFonts w:ascii="David" w:hAnsi="David" w:cs="David"/>
          <w:b/>
          <w:bCs/>
          <w:sz w:val="24"/>
          <w:szCs w:val="24"/>
          <w:rtl/>
        </w:rPr>
      </w:pPr>
      <w:r w:rsidRPr="00C0152C">
        <w:rPr>
          <w:rFonts w:ascii="David" w:hAnsi="David" w:cs="David"/>
          <w:b/>
          <w:bCs/>
          <w:sz w:val="24"/>
          <w:szCs w:val="24"/>
          <w:rtl/>
        </w:rPr>
        <w:t xml:space="preserve">"15. </w:t>
      </w:r>
      <w:r w:rsidRPr="00C0152C">
        <w:rPr>
          <w:rFonts w:ascii="David" w:hAnsi="David" w:cs="David"/>
          <w:b/>
          <w:bCs/>
          <w:sz w:val="24"/>
          <w:szCs w:val="24"/>
          <w:rtl/>
        </w:rPr>
        <w:tab/>
        <w:t xml:space="preserve">הנתבע מכחיש את האמור בס' 6 לכתב התביעה, וטוען כי התובעת 1 אינה יכולה לרשת את החלק מזכויותיו של בעלה המנוח, </w:t>
      </w:r>
      <w:r w:rsidRPr="00C0152C">
        <w:rPr>
          <w:rFonts w:ascii="David" w:hAnsi="David" w:cs="David"/>
          <w:b/>
          <w:bCs/>
          <w:sz w:val="24"/>
          <w:szCs w:val="24"/>
        </w:rPr>
        <w:t>XXX</w:t>
      </w:r>
      <w:r w:rsidRPr="00C0152C">
        <w:rPr>
          <w:rFonts w:ascii="David" w:hAnsi="David" w:cs="David"/>
          <w:b/>
          <w:bCs/>
          <w:sz w:val="24"/>
          <w:szCs w:val="24"/>
          <w:rtl/>
        </w:rPr>
        <w:t xml:space="preserve">, וזאת מאחר בעלה המנוח ירש  את הזכויות מאביו המנוח </w:t>
      </w:r>
      <w:r w:rsidRPr="00C0152C">
        <w:rPr>
          <w:rFonts w:ascii="David" w:hAnsi="David" w:cs="David"/>
          <w:b/>
          <w:bCs/>
          <w:sz w:val="24"/>
          <w:szCs w:val="24"/>
        </w:rPr>
        <w:t>XXX</w:t>
      </w:r>
      <w:r w:rsidRPr="00C0152C">
        <w:rPr>
          <w:rFonts w:ascii="David" w:hAnsi="David" w:cs="David"/>
          <w:b/>
          <w:bCs/>
          <w:sz w:val="24"/>
          <w:szCs w:val="24"/>
          <w:rtl/>
        </w:rPr>
        <w:t>, כאשר לפי צוואת ה</w:t>
      </w:r>
      <w:r w:rsidR="00C0152C" w:rsidRPr="00C0152C">
        <w:rPr>
          <w:rFonts w:ascii="David" w:hAnsi="David" w:cs="David"/>
          <w:b/>
          <w:bCs/>
          <w:sz w:val="24"/>
          <w:szCs w:val="24"/>
          <w:rtl/>
        </w:rPr>
        <w:t>אב ה</w:t>
      </w:r>
      <w:r w:rsidRPr="00C0152C">
        <w:rPr>
          <w:rFonts w:ascii="David" w:hAnsi="David" w:cs="David"/>
          <w:b/>
          <w:bCs/>
          <w:sz w:val="24"/>
          <w:szCs w:val="24"/>
          <w:rtl/>
        </w:rPr>
        <w:t xml:space="preserve">מנוח </w:t>
      </w:r>
      <w:r w:rsidRPr="00C0152C">
        <w:rPr>
          <w:rFonts w:ascii="David" w:hAnsi="David" w:cs="David"/>
          <w:b/>
          <w:bCs/>
          <w:sz w:val="24"/>
          <w:szCs w:val="24"/>
        </w:rPr>
        <w:t>XXX</w:t>
      </w:r>
      <w:r w:rsidRPr="00C0152C">
        <w:rPr>
          <w:rFonts w:ascii="David" w:hAnsi="David" w:cs="David"/>
          <w:b/>
          <w:bCs/>
          <w:sz w:val="24"/>
          <w:szCs w:val="24"/>
          <w:rtl/>
        </w:rPr>
        <w:t>, אביו של ה</w:t>
      </w:r>
      <w:r w:rsidR="00C0152C" w:rsidRPr="00C0152C">
        <w:rPr>
          <w:rFonts w:ascii="David" w:hAnsi="David" w:cs="David"/>
          <w:b/>
          <w:bCs/>
          <w:sz w:val="24"/>
          <w:szCs w:val="24"/>
          <w:rtl/>
        </w:rPr>
        <w:t>אח ה</w:t>
      </w:r>
      <w:r w:rsidRPr="00C0152C">
        <w:rPr>
          <w:rFonts w:ascii="David" w:hAnsi="David" w:cs="David"/>
          <w:b/>
          <w:bCs/>
          <w:sz w:val="24"/>
          <w:szCs w:val="24"/>
          <w:rtl/>
        </w:rPr>
        <w:t xml:space="preserve">מנוח </w:t>
      </w:r>
      <w:r w:rsidRPr="00C0152C">
        <w:rPr>
          <w:rFonts w:ascii="David" w:hAnsi="David" w:cs="David"/>
          <w:b/>
          <w:bCs/>
          <w:sz w:val="24"/>
          <w:szCs w:val="24"/>
        </w:rPr>
        <w:t>XXX</w:t>
      </w:r>
      <w:r w:rsidRPr="00C0152C">
        <w:rPr>
          <w:rFonts w:ascii="David" w:hAnsi="David" w:cs="David"/>
          <w:b/>
          <w:bCs/>
          <w:sz w:val="24"/>
          <w:szCs w:val="24"/>
          <w:rtl/>
        </w:rPr>
        <w:t xml:space="preserve">, סעיף 6 לצוואה ציווה כי (הנני מצווה בכל זכויותיי בחלקה </w:t>
      </w:r>
      <w:r w:rsidRPr="00C0152C">
        <w:rPr>
          <w:rFonts w:ascii="David" w:hAnsi="David" w:cs="David"/>
          <w:b/>
          <w:bCs/>
          <w:sz w:val="24"/>
          <w:szCs w:val="24"/>
        </w:rPr>
        <w:t>X</w:t>
      </w:r>
      <w:r w:rsidRPr="00C0152C">
        <w:rPr>
          <w:rFonts w:ascii="David" w:hAnsi="David" w:cs="David"/>
          <w:b/>
          <w:bCs/>
          <w:sz w:val="24"/>
          <w:szCs w:val="24"/>
          <w:rtl/>
        </w:rPr>
        <w:t xml:space="preserve"> גוש </w:t>
      </w:r>
      <w:r w:rsidRPr="00C0152C">
        <w:rPr>
          <w:rFonts w:ascii="David" w:hAnsi="David" w:cs="David"/>
          <w:b/>
          <w:bCs/>
          <w:sz w:val="24"/>
          <w:szCs w:val="24"/>
        </w:rPr>
        <w:t>XXX</w:t>
      </w:r>
      <w:r w:rsidR="00C0152C" w:rsidRPr="00C0152C">
        <w:rPr>
          <w:rFonts w:ascii="David" w:hAnsi="David" w:cs="David"/>
          <w:b/>
          <w:bCs/>
          <w:sz w:val="24"/>
          <w:szCs w:val="24"/>
          <w:rtl/>
        </w:rPr>
        <w:t xml:space="preserve"> </w:t>
      </w:r>
      <w:r w:rsidRPr="00C0152C">
        <w:rPr>
          <w:rFonts w:ascii="David" w:hAnsi="David" w:cs="David"/>
          <w:b/>
          <w:bCs/>
          <w:sz w:val="24"/>
          <w:szCs w:val="24"/>
          <w:rtl/>
        </w:rPr>
        <w:t xml:space="preserve">כך שיהיו לילדיי </w:t>
      </w:r>
      <w:r w:rsidRPr="00C0152C">
        <w:rPr>
          <w:rFonts w:ascii="David" w:hAnsi="David" w:cs="David"/>
          <w:b/>
          <w:bCs/>
          <w:sz w:val="24"/>
          <w:szCs w:val="24"/>
        </w:rPr>
        <w:t>XXX</w:t>
      </w:r>
      <w:r w:rsidRPr="00C0152C">
        <w:rPr>
          <w:rFonts w:ascii="David" w:hAnsi="David" w:cs="David"/>
          <w:b/>
          <w:bCs/>
          <w:sz w:val="24"/>
          <w:szCs w:val="24"/>
          <w:rtl/>
        </w:rPr>
        <w:t xml:space="preserve"> ת.ז </w:t>
      </w:r>
      <w:r w:rsidRPr="00C0152C">
        <w:rPr>
          <w:rFonts w:ascii="David" w:hAnsi="David" w:cs="David"/>
          <w:b/>
          <w:bCs/>
          <w:sz w:val="24"/>
          <w:szCs w:val="24"/>
        </w:rPr>
        <w:t>XXX</w:t>
      </w:r>
      <w:r w:rsidRPr="00C0152C">
        <w:rPr>
          <w:rFonts w:ascii="David" w:hAnsi="David" w:cs="David"/>
          <w:b/>
          <w:bCs/>
          <w:sz w:val="24"/>
          <w:szCs w:val="24"/>
          <w:rtl/>
        </w:rPr>
        <w:t xml:space="preserve"> ו</w:t>
      </w:r>
      <w:r w:rsidR="00C0152C" w:rsidRPr="00C0152C">
        <w:rPr>
          <w:rFonts w:ascii="David" w:hAnsi="David" w:cs="David"/>
          <w:b/>
          <w:bCs/>
          <w:sz w:val="24"/>
          <w:szCs w:val="24"/>
        </w:rPr>
        <w:t xml:space="preserve"> XXX</w:t>
      </w:r>
      <w:r w:rsidRPr="00C0152C">
        <w:rPr>
          <w:rFonts w:ascii="David" w:hAnsi="David" w:cs="David"/>
          <w:b/>
          <w:bCs/>
          <w:sz w:val="24"/>
          <w:szCs w:val="24"/>
        </w:rPr>
        <w:t>-</w:t>
      </w:r>
      <w:r w:rsidRPr="00C0152C">
        <w:rPr>
          <w:rFonts w:ascii="David" w:hAnsi="David" w:cs="David"/>
          <w:b/>
          <w:bCs/>
          <w:sz w:val="24"/>
          <w:szCs w:val="24"/>
          <w:rtl/>
        </w:rPr>
        <w:t xml:space="preserve"> ת.ז. </w:t>
      </w:r>
      <w:r w:rsidRPr="00C0152C">
        <w:rPr>
          <w:rFonts w:ascii="David" w:hAnsi="David" w:cs="David"/>
          <w:b/>
          <w:bCs/>
          <w:sz w:val="24"/>
          <w:szCs w:val="24"/>
        </w:rPr>
        <w:t>XXX</w:t>
      </w:r>
      <w:r w:rsidRPr="00C0152C">
        <w:rPr>
          <w:rFonts w:ascii="David" w:hAnsi="David" w:cs="David"/>
          <w:b/>
          <w:bCs/>
          <w:sz w:val="24"/>
          <w:szCs w:val="24"/>
          <w:rtl/>
        </w:rPr>
        <w:t xml:space="preserve"> שווה בשווה, כולל כל הבנוי עליה יהיה שלהם, ומאחוריהם יהיה לילדיהם, במ</w:t>
      </w:r>
      <w:r w:rsidR="00C0152C" w:rsidRPr="00C0152C">
        <w:rPr>
          <w:rFonts w:ascii="David" w:hAnsi="David" w:cs="David"/>
          <w:b/>
          <w:bCs/>
          <w:sz w:val="24"/>
          <w:szCs w:val="24"/>
          <w:rtl/>
        </w:rPr>
        <w:t>י</w:t>
      </w:r>
      <w:r w:rsidRPr="00C0152C">
        <w:rPr>
          <w:rFonts w:ascii="David" w:hAnsi="David" w:cs="David"/>
          <w:b/>
          <w:bCs/>
          <w:sz w:val="24"/>
          <w:szCs w:val="24"/>
          <w:rtl/>
        </w:rPr>
        <w:t xml:space="preserve">דה ואחד מהם יהיה חפץ למכור את זכויותיו אז יוכל לעשות זאת רק לבן השני)". </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p>
    <w:p w:rsidR="000814C4" w:rsidRPr="00C0152C" w:rsidRDefault="000814C4" w:rsidP="00C0152C">
      <w:pPr>
        <w:spacing w:line="360" w:lineRule="auto"/>
        <w:ind w:left="283"/>
        <w:jc w:val="both"/>
        <w:rPr>
          <w:rFonts w:ascii="David" w:hAnsi="David"/>
          <w:spacing w:val="10"/>
        </w:rPr>
      </w:pPr>
      <w:r w:rsidRPr="00C0152C">
        <w:rPr>
          <w:rFonts w:ascii="David" w:hAnsi="David"/>
          <w:spacing w:val="10"/>
          <w:rtl/>
        </w:rPr>
        <w:t>דהיינו, עולה כי טענת ההגנה של המבקש מתייחסת לפרשנות צוואת האב המנוח, קרי המקור לסכסוך בין הצדדים הוא הסכסוך הירושתי, וקיים קשר בנו לבין התובענה כפי שהוגשה, קשר שאיננו רחוק וזניח, אשר תרם להתגבשותה של עילת התביעה.</w:t>
      </w:r>
    </w:p>
    <w:p w:rsidR="000814C4" w:rsidRPr="00C0152C" w:rsidRDefault="000814C4" w:rsidP="00C0152C">
      <w:pPr>
        <w:pStyle w:val="ad"/>
        <w:tabs>
          <w:tab w:val="left" w:pos="368"/>
          <w:tab w:val="left" w:pos="509"/>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spacing w:val="10"/>
          <w:sz w:val="24"/>
          <w:szCs w:val="24"/>
          <w:rtl/>
        </w:rPr>
        <w:t>בהקשר זה ייאמר כי כידוע:</w:t>
      </w:r>
      <w:r w:rsidRPr="00C0152C">
        <w:rPr>
          <w:rFonts w:ascii="David" w:eastAsia="Times New Roman" w:hAnsi="David" w:cs="David"/>
          <w:b/>
          <w:bCs/>
          <w:spacing w:val="10"/>
          <w:sz w:val="24"/>
          <w:szCs w:val="24"/>
          <w:rtl/>
        </w:rPr>
        <w:t xml:space="preserve"> "</w:t>
      </w:r>
      <w:r w:rsidRPr="00C0152C">
        <w:rPr>
          <w:rFonts w:ascii="David" w:hAnsi="David" w:cs="David"/>
          <w:b/>
          <w:bCs/>
          <w:spacing w:val="10"/>
          <w:sz w:val="24"/>
          <w:szCs w:val="24"/>
          <w:rtl/>
        </w:rPr>
        <w:t>ככל שעילת הסכסוך ומקורו בעניינים הקשורים בקשר הדוק יותר לענייני הירושה, כך גובר הצידוק לרכז בבית המשפט לענייני משפחה את הדיון בתובענה זו יחד עם היבטים אחרים הקשורים לסכסוך בקשר לאותה ירושה"</w:t>
      </w:r>
      <w:r w:rsidRPr="00C0152C">
        <w:rPr>
          <w:rFonts w:ascii="David" w:hAnsi="David" w:cs="David"/>
          <w:spacing w:val="10"/>
          <w:sz w:val="24"/>
          <w:szCs w:val="24"/>
          <w:rtl/>
        </w:rPr>
        <w:t xml:space="preserve"> (ראו: </w:t>
      </w:r>
      <w:r w:rsidRPr="00C0152C">
        <w:rPr>
          <w:rFonts w:ascii="David" w:eastAsia="Times New Roman" w:hAnsi="David" w:cs="David"/>
          <w:spacing w:val="10"/>
          <w:sz w:val="24"/>
          <w:szCs w:val="24"/>
          <w:rtl/>
        </w:rPr>
        <w:t>רע"א 5267/14 אמיר דוד לוין נ' דליה שיוביץ [פורסם בנבו] (5.10.14) בפיסקה 23 להחלטתו של כב' השופט נעם סולברג) אמנם ההלכה האמורה מתייחסת לסעיף 1(6)(ה) לחוק בית המשפט לענייני משפחה אך סבורני כי ניתן להקיש מכך לענייננו.</w:t>
      </w:r>
    </w:p>
    <w:p w:rsidR="000814C4" w:rsidRPr="00C0152C" w:rsidRDefault="000814C4" w:rsidP="00C0152C">
      <w:pPr>
        <w:pStyle w:val="ad"/>
        <w:tabs>
          <w:tab w:val="left" w:pos="368"/>
          <w:tab w:val="left" w:pos="509"/>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spacing w:val="10"/>
          <w:sz w:val="24"/>
          <w:szCs w:val="24"/>
          <w:rtl/>
        </w:rPr>
        <w:t>גם שיקולים הנוגעים למומחיותו של בית משפט זה ולמקצועיותו בתחום הסוגיות שיידונו, באופי הסכסוך ומיהות הצדדים, מטים את הכף לכך שעדיף כי התביעה תידון לפניו. מדובר בסכסוך בעל אופי משפחתי, שמקורו בצוואת האב המנוח- מצריך את מומחיותו ומקצועיותו של בית המשפט לענייני משפחה בסוגיות העולות באורח תדיר על הפרק בסכסוכים בקשר לירושה ובסכסוכים בתוך המשפחה, שבהם קנו בתי המשפט לענייני משפחה מומחיות רבה עקב רוב עיסוקו בעניינים כגון דא, והוא אף מחייב רגישות מיוחדת למרקם העדין של יחסי המשפחה (ראו והשוו: דברי כב' השופט נעם סולברג ברע"א 5267/14</w:t>
      </w:r>
      <w:r w:rsidRPr="00C0152C">
        <w:rPr>
          <w:rFonts w:ascii="David" w:eastAsia="Times New Roman" w:hAnsi="David" w:cs="David"/>
          <w:b/>
          <w:bCs/>
          <w:spacing w:val="10"/>
          <w:sz w:val="24"/>
          <w:szCs w:val="24"/>
          <w:rtl/>
        </w:rPr>
        <w:t xml:space="preserve"> </w:t>
      </w:r>
      <w:r w:rsidRPr="00C0152C">
        <w:rPr>
          <w:rFonts w:ascii="David" w:eastAsia="Times New Roman" w:hAnsi="David" w:cs="David"/>
          <w:spacing w:val="10"/>
          <w:sz w:val="24"/>
          <w:szCs w:val="24"/>
          <w:rtl/>
        </w:rPr>
        <w:t>לוין נ' שיוביץ לעיל בפיסקאות 26 ו-29 להחלטתו).</w:t>
      </w:r>
    </w:p>
    <w:p w:rsidR="000814C4" w:rsidRPr="00C0152C" w:rsidRDefault="000814C4" w:rsidP="00C0152C">
      <w:pPr>
        <w:pStyle w:val="ad"/>
        <w:tabs>
          <w:tab w:val="left" w:pos="368"/>
          <w:tab w:val="left" w:pos="509"/>
        </w:tabs>
        <w:overflowPunct w:val="0"/>
        <w:autoSpaceDE w:val="0"/>
        <w:autoSpaceDN w:val="0"/>
        <w:adjustRightInd w:val="0"/>
        <w:spacing w:after="0" w:line="360" w:lineRule="auto"/>
        <w:ind w:left="368"/>
        <w:jc w:val="both"/>
        <w:textAlignment w:val="baseline"/>
        <w:rPr>
          <w:rFonts w:ascii="David" w:eastAsia="Times New Roman" w:hAnsi="David" w:cs="David"/>
          <w:b/>
          <w:bCs/>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spacing w:val="10"/>
          <w:sz w:val="24"/>
          <w:szCs w:val="24"/>
          <w:rtl/>
        </w:rPr>
        <w:t xml:space="preserve">זאת ועוד, אני מוצאת כי יש בעובדה שהמבקש עצמו הגיש את תביעתו כנגד </w:t>
      </w:r>
      <w:r w:rsidR="00113BA9" w:rsidRPr="00C0152C">
        <w:rPr>
          <w:rFonts w:ascii="David" w:eastAsia="Times New Roman" w:hAnsi="David" w:cs="David"/>
          <w:spacing w:val="10"/>
          <w:sz w:val="24"/>
          <w:szCs w:val="24"/>
          <w:rtl/>
        </w:rPr>
        <w:t>פלונית</w:t>
      </w:r>
      <w:r w:rsidRPr="00C0152C">
        <w:rPr>
          <w:rFonts w:ascii="David" w:eastAsia="Times New Roman" w:hAnsi="David" w:cs="David"/>
          <w:spacing w:val="10"/>
          <w:sz w:val="24"/>
          <w:szCs w:val="24"/>
          <w:rtl/>
        </w:rPr>
        <w:t xml:space="preserve"> בבית המשפט לענייני משפחה בעניין החלקה (כאמור, תביעה לפס"ד הצהרתי </w:t>
      </w:r>
      <w:r w:rsidRPr="00C0152C">
        <w:rPr>
          <w:rFonts w:ascii="David" w:hAnsi="David" w:cs="David"/>
          <w:sz w:val="24"/>
          <w:szCs w:val="24"/>
          <w:rtl/>
        </w:rPr>
        <w:t>לביטול רישום הזכויות על שמה)</w:t>
      </w:r>
      <w:r w:rsidRPr="00C0152C">
        <w:rPr>
          <w:rFonts w:ascii="David" w:eastAsia="Times New Roman" w:hAnsi="David" w:cs="David"/>
          <w:spacing w:val="10"/>
          <w:sz w:val="24"/>
          <w:szCs w:val="24"/>
          <w:rtl/>
        </w:rPr>
        <w:t xml:space="preserve"> כדי להעיד על כך שהמבקש עצמו משקיף על המחלוקת בין הצדדים כמחלוקת אשר פתרונה לא אמור להימצא במסגרת הכרעה שיפוטית אזרחית רגילה כי אם בבית המשפט לענייני משפחה (ראו: רע"א 5267/14</w:t>
      </w:r>
      <w:r w:rsidRPr="00C0152C">
        <w:rPr>
          <w:rFonts w:ascii="David" w:eastAsia="Times New Roman" w:hAnsi="David" w:cs="David"/>
          <w:b/>
          <w:bCs/>
          <w:spacing w:val="10"/>
          <w:sz w:val="24"/>
          <w:szCs w:val="24"/>
          <w:rtl/>
        </w:rPr>
        <w:t xml:space="preserve"> </w:t>
      </w:r>
      <w:r w:rsidRPr="00C0152C">
        <w:rPr>
          <w:rFonts w:ascii="David" w:eastAsia="Times New Roman" w:hAnsi="David" w:cs="David"/>
          <w:spacing w:val="10"/>
          <w:sz w:val="24"/>
          <w:szCs w:val="24"/>
          <w:rtl/>
        </w:rPr>
        <w:t>לוין נ' שיוביץ לעיל בפיסקה 24 להחלטתו של כב' השופט נעם סולברג. כאמור, סבורני כי יש להקיש מהאמור לענייננו).</w:t>
      </w:r>
    </w:p>
    <w:p w:rsidR="000814C4" w:rsidRPr="00C0152C" w:rsidRDefault="000814C4" w:rsidP="00C0152C">
      <w:pPr>
        <w:pStyle w:val="ad"/>
        <w:spacing w:after="0" w:line="360" w:lineRule="auto"/>
        <w:ind w:left="283"/>
        <w:jc w:val="both"/>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rtl/>
        </w:rPr>
        <w:t xml:space="preserve">יתרה מכך, ניתן לראות כי הסכסוך בין הצדדים הינו סכסוך משפחתי עצים, והדבר בא לידי ביטוי בהגשת צווי הגנה: ה"ט 70938-06-23 וה"ט 64374-07-23 שהגישה </w:t>
      </w:r>
      <w:r w:rsidR="00113BA9" w:rsidRPr="00C0152C">
        <w:rPr>
          <w:rFonts w:ascii="David" w:eastAsia="Times New Roman" w:hAnsi="David" w:cs="David"/>
          <w:spacing w:val="10"/>
          <w:sz w:val="24"/>
          <w:szCs w:val="24"/>
          <w:rtl/>
        </w:rPr>
        <w:t>פלונית</w:t>
      </w:r>
      <w:r w:rsidRPr="00C0152C">
        <w:rPr>
          <w:rFonts w:ascii="David" w:eastAsia="Times New Roman" w:hAnsi="David" w:cs="David"/>
          <w:spacing w:val="10"/>
          <w:sz w:val="24"/>
          <w:szCs w:val="24"/>
          <w:rtl/>
        </w:rPr>
        <w:t xml:space="preserve"> כנגד המבקש בבית משפט זה, וכן ה"</w:t>
      </w:r>
      <w:r w:rsidR="00113BA9" w:rsidRPr="00C0152C">
        <w:rPr>
          <w:rFonts w:ascii="David" w:eastAsia="Times New Roman" w:hAnsi="David" w:cs="David"/>
          <w:spacing w:val="10"/>
          <w:sz w:val="24"/>
          <w:szCs w:val="24"/>
          <w:rtl/>
        </w:rPr>
        <w:t>ט 76584-05-24 שהגיש המבקש כנגד פלונית</w:t>
      </w:r>
      <w:r w:rsidRPr="00C0152C">
        <w:rPr>
          <w:rFonts w:ascii="David" w:eastAsia="Times New Roman" w:hAnsi="David" w:cs="David"/>
          <w:spacing w:val="10"/>
          <w:sz w:val="24"/>
          <w:szCs w:val="24"/>
          <w:rtl/>
        </w:rPr>
        <w:t xml:space="preserve"> בביהמ"ש לענייני משפחה ב</w:t>
      </w:r>
      <w:r w:rsidRPr="00C0152C">
        <w:rPr>
          <w:rFonts w:ascii="David" w:eastAsia="Times New Roman" w:hAnsi="David" w:cs="David"/>
          <w:spacing w:val="10"/>
          <w:sz w:val="24"/>
          <w:szCs w:val="24"/>
        </w:rPr>
        <w:t>XXX</w:t>
      </w:r>
      <w:r w:rsidRPr="00C0152C">
        <w:rPr>
          <w:rFonts w:ascii="David" w:eastAsia="Times New Roman" w:hAnsi="David" w:cs="David"/>
          <w:spacing w:val="10"/>
          <w:sz w:val="24"/>
          <w:szCs w:val="24"/>
          <w:rtl/>
        </w:rPr>
        <w:t xml:space="preserve"> (אותו ציין המבקש בסעיף 2 להודעת ההבהרה מטעמו מיום 1.9.24). </w:t>
      </w:r>
    </w:p>
    <w:p w:rsidR="000814C4" w:rsidRPr="00C0152C" w:rsidRDefault="000814C4" w:rsidP="00C0152C">
      <w:pPr>
        <w:pStyle w:val="ad"/>
        <w:spacing w:after="0" w:line="360" w:lineRule="auto"/>
        <w:jc w:val="both"/>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C0152C">
        <w:rPr>
          <w:rFonts w:ascii="David" w:eastAsia="Times New Roman" w:hAnsi="David" w:cs="David"/>
          <w:spacing w:val="10"/>
          <w:sz w:val="24"/>
          <w:szCs w:val="24"/>
          <w:rtl/>
        </w:rPr>
        <w:t>עיון בחומר שבתיק הקשור ה"ט 64374-07-23 מעלה כי הסכסוך בין הצדדים הינו סכסוך משפחתי גרידא. ראו לעניין זה דברי המבקש בדיון מיום 3.8.23 (בעמ' 4 בשורה 35):</w:t>
      </w:r>
      <w:r w:rsidRPr="00C0152C">
        <w:rPr>
          <w:rFonts w:ascii="David" w:eastAsia="Times New Roman" w:hAnsi="David" w:cs="David"/>
          <w:b/>
          <w:bCs/>
          <w:spacing w:val="10"/>
          <w:sz w:val="24"/>
          <w:szCs w:val="24"/>
          <w:rtl/>
        </w:rPr>
        <w:t xml:space="preserve"> </w:t>
      </w:r>
      <w:r w:rsidRPr="00C0152C">
        <w:rPr>
          <w:rFonts w:ascii="David" w:eastAsia="Times New Roman" w:hAnsi="David" w:cs="David"/>
          <w:b/>
          <w:bCs/>
          <w:spacing w:val="10"/>
          <w:sz w:val="24"/>
          <w:szCs w:val="24"/>
          <w:rtl/>
        </w:rPr>
        <w:lastRenderedPageBreak/>
        <w:t xml:space="preserve">"...יש לי סכסוך עם אישתי והיא מדברת עם </w:t>
      </w:r>
      <w:r w:rsidR="00113BA9" w:rsidRPr="00C0152C">
        <w:rPr>
          <w:rFonts w:ascii="David" w:eastAsia="Times New Roman" w:hAnsi="David" w:cs="David"/>
          <w:b/>
          <w:bCs/>
          <w:spacing w:val="10"/>
          <w:sz w:val="24"/>
          <w:szCs w:val="24"/>
          <w:rtl/>
        </w:rPr>
        <w:t>פלונית</w:t>
      </w:r>
      <w:r w:rsidRPr="00C0152C">
        <w:rPr>
          <w:rFonts w:ascii="David" w:eastAsia="Times New Roman" w:hAnsi="David" w:cs="David"/>
          <w:b/>
          <w:bCs/>
          <w:spacing w:val="10"/>
          <w:sz w:val="24"/>
          <w:szCs w:val="24"/>
          <w:rtl/>
        </w:rPr>
        <w:t xml:space="preserve"> והן מפילות עלי שתיהן יחד ואין לי זמן לזה...".</w:t>
      </w:r>
    </w:p>
    <w:p w:rsidR="000814C4" w:rsidRPr="00C0152C" w:rsidRDefault="000814C4" w:rsidP="00C0152C">
      <w:pPr>
        <w:pStyle w:val="ad"/>
        <w:spacing w:after="0" w:line="360" w:lineRule="auto"/>
        <w:ind w:left="283"/>
        <w:jc w:val="both"/>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hAnsi="David" w:cs="David"/>
          <w:spacing w:val="10"/>
          <w:sz w:val="24"/>
          <w:szCs w:val="24"/>
          <w:rtl/>
        </w:rPr>
        <w:t xml:space="preserve">בנסיבות אלו, הנני מוצאת כי עילתה של התביעה הנדונה נובעת בעיקרה מן הסכסוך המשפחתי בין </w:t>
      </w:r>
      <w:r w:rsidR="00113BA9" w:rsidRPr="00C0152C">
        <w:rPr>
          <w:rFonts w:ascii="David" w:hAnsi="David" w:cs="David"/>
          <w:spacing w:val="10"/>
          <w:sz w:val="24"/>
          <w:szCs w:val="24"/>
          <w:rtl/>
        </w:rPr>
        <w:t>פלונית</w:t>
      </w:r>
      <w:r w:rsidRPr="00C0152C">
        <w:rPr>
          <w:rFonts w:ascii="David" w:hAnsi="David" w:cs="David"/>
          <w:spacing w:val="10"/>
          <w:sz w:val="24"/>
          <w:szCs w:val="24"/>
          <w:rtl/>
        </w:rPr>
        <w:t xml:space="preserve"> (ו</w:t>
      </w:r>
      <w:r w:rsidR="00113BA9" w:rsidRPr="00C0152C">
        <w:rPr>
          <w:rFonts w:ascii="David" w:hAnsi="David" w:cs="David"/>
          <w:spacing w:val="10"/>
          <w:sz w:val="24"/>
          <w:szCs w:val="24"/>
          <w:rtl/>
        </w:rPr>
        <w:t>בתה</w:t>
      </w:r>
      <w:r w:rsidRPr="00C0152C">
        <w:rPr>
          <w:rFonts w:ascii="David" w:hAnsi="David" w:cs="David"/>
          <w:spacing w:val="10"/>
          <w:sz w:val="24"/>
          <w:szCs w:val="24"/>
          <w:rtl/>
        </w:rPr>
        <w:t xml:space="preserve">) לבין המבקש, וכרוכה ביחסים המשפחתיים שבין הצדדים. </w:t>
      </w:r>
      <w:r w:rsidRPr="00C0152C">
        <w:rPr>
          <w:rFonts w:ascii="David" w:eastAsia="Times New Roman" w:hAnsi="David" w:cs="David"/>
          <w:spacing w:val="10"/>
          <w:sz w:val="24"/>
          <w:szCs w:val="24"/>
          <w:rtl/>
        </w:rPr>
        <w:t>הלכה למעשה,</w:t>
      </w:r>
      <w:r w:rsidRPr="00C0152C">
        <w:rPr>
          <w:rFonts w:ascii="David" w:eastAsia="Times New Roman" w:hAnsi="David" w:cs="David"/>
          <w:b/>
          <w:bCs/>
          <w:spacing w:val="10"/>
          <w:sz w:val="24"/>
          <w:szCs w:val="24"/>
          <w:rtl/>
        </w:rPr>
        <w:t xml:space="preserve"> </w:t>
      </w:r>
      <w:r w:rsidRPr="00C0152C">
        <w:rPr>
          <w:rFonts w:ascii="David" w:eastAsia="Times New Roman" w:hAnsi="David" w:cs="David"/>
          <w:spacing w:val="10"/>
          <w:sz w:val="24"/>
          <w:szCs w:val="24"/>
          <w:rtl/>
        </w:rPr>
        <w:t xml:space="preserve">הקשר המשפחתי תרם תרומה משמעותית לגיבוש עילת התביעה. </w:t>
      </w:r>
    </w:p>
    <w:p w:rsidR="000814C4" w:rsidRPr="00C0152C" w:rsidRDefault="000814C4" w:rsidP="00C0152C">
      <w:pPr>
        <w:pStyle w:val="ad"/>
        <w:spacing w:after="0" w:line="360" w:lineRule="auto"/>
        <w:ind w:left="283"/>
        <w:jc w:val="both"/>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rtl/>
        </w:rPr>
        <w:t>הנה כי כן, המקרה דנן עונה על שני התנאים האמורים להגדרת סמכותו של בית המשפט לענייני משפחה.</w:t>
      </w:r>
    </w:p>
    <w:p w:rsidR="000814C4" w:rsidRPr="00C0152C" w:rsidRDefault="000814C4" w:rsidP="00C0152C">
      <w:pPr>
        <w:pStyle w:val="ad"/>
        <w:spacing w:after="0" w:line="360" w:lineRule="auto"/>
        <w:jc w:val="both"/>
        <w:rPr>
          <w:rFonts w:ascii="David" w:hAnsi="David" w:cs="David"/>
          <w:spacing w:val="10"/>
          <w:sz w:val="24"/>
          <w:szCs w:val="24"/>
          <w:rtl/>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hAnsi="David" w:cs="David"/>
          <w:spacing w:val="10"/>
          <w:sz w:val="24"/>
          <w:szCs w:val="24"/>
          <w:rtl/>
        </w:rPr>
        <w:t>אשר על כן, הסמכות העניינית לדון בתביעה נתונה לבית משפט זה.</w:t>
      </w:r>
    </w:p>
    <w:p w:rsidR="000814C4" w:rsidRPr="00C0152C" w:rsidRDefault="000814C4" w:rsidP="00C0152C">
      <w:pPr>
        <w:pStyle w:val="ad"/>
        <w:spacing w:after="0" w:line="360" w:lineRule="auto"/>
        <w:jc w:val="both"/>
        <w:rPr>
          <w:rFonts w:ascii="David" w:hAnsi="David" w:cs="David"/>
          <w:spacing w:val="10"/>
          <w:sz w:val="24"/>
          <w:szCs w:val="24"/>
        </w:rPr>
      </w:pP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t>האם לבית המשפט לענייני משפחה סמכות מקומית לדון בתובענה?</w:t>
      </w:r>
    </w:p>
    <w:p w:rsidR="000814C4" w:rsidRPr="00C0152C" w:rsidRDefault="000814C4" w:rsidP="00C0152C">
      <w:pPr>
        <w:pStyle w:val="ad"/>
        <w:spacing w:after="0" w:line="360" w:lineRule="auto"/>
        <w:jc w:val="both"/>
        <w:rPr>
          <w:rFonts w:ascii="David" w:eastAsia="Times New Roman" w:hAnsi="David" w:cs="David"/>
          <w:spacing w:val="10"/>
          <w:sz w:val="24"/>
          <w:szCs w:val="24"/>
          <w:rtl/>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rtl/>
        </w:rPr>
        <w:t>לדידי, גם התשובה לשאלה זו היא חיובית. ואבאר דבריי.</w:t>
      </w:r>
    </w:p>
    <w:p w:rsidR="000814C4" w:rsidRPr="00C0152C" w:rsidRDefault="000814C4" w:rsidP="00C0152C">
      <w:pPr>
        <w:pStyle w:val="ad"/>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Pr>
      </w:pPr>
      <w:r w:rsidRPr="00C0152C">
        <w:rPr>
          <w:rFonts w:ascii="David" w:eastAsia="Times New Roman" w:hAnsi="David" w:cs="David"/>
          <w:spacing w:val="10"/>
          <w:sz w:val="24"/>
          <w:szCs w:val="24"/>
          <w:rtl/>
        </w:rPr>
        <w:t xml:space="preserve">תקנה 6 (ב) לתקנות </w:t>
      </w:r>
      <w:r w:rsidRPr="00C0152C">
        <w:rPr>
          <w:rFonts w:ascii="David" w:hAnsi="David" w:cs="David"/>
          <w:sz w:val="24"/>
          <w:szCs w:val="24"/>
          <w:rtl/>
        </w:rPr>
        <w:t>בית המשפט לענייני משפחה (סדרי דין), תשפ"א-2020</w:t>
      </w:r>
      <w:r w:rsidRPr="00C0152C">
        <w:rPr>
          <w:rFonts w:ascii="David" w:eastAsia="Times New Roman" w:hAnsi="David" w:cs="David"/>
          <w:spacing w:val="10"/>
          <w:sz w:val="24"/>
          <w:szCs w:val="24"/>
          <w:rtl/>
        </w:rPr>
        <w:t xml:space="preserve"> (להלן:</w:t>
      </w:r>
      <w:r w:rsidRPr="00C0152C">
        <w:rPr>
          <w:rFonts w:ascii="David" w:eastAsia="Times New Roman" w:hAnsi="David" w:cs="David"/>
          <w:b/>
          <w:bCs/>
          <w:spacing w:val="10"/>
          <w:sz w:val="24"/>
          <w:szCs w:val="24"/>
          <w:rtl/>
        </w:rPr>
        <w:t xml:space="preserve"> "תקנות בית המשפט לענייני משפחה")</w:t>
      </w:r>
      <w:r w:rsidRPr="00C0152C">
        <w:rPr>
          <w:rFonts w:ascii="David" w:eastAsia="Times New Roman" w:hAnsi="David" w:cs="David"/>
          <w:spacing w:val="10"/>
          <w:sz w:val="24"/>
          <w:szCs w:val="24"/>
          <w:rtl/>
        </w:rPr>
        <w:t xml:space="preserve"> מורה לנו כדלקמן:</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Pr>
      </w:pPr>
      <w:r w:rsidRPr="00C0152C">
        <w:rPr>
          <w:rFonts w:ascii="David" w:eastAsia="Times New Roman" w:hAnsi="David" w:cs="David"/>
          <w:b/>
          <w:bCs/>
          <w:spacing w:val="10"/>
          <w:sz w:val="24"/>
          <w:szCs w:val="24"/>
          <w:rtl/>
        </w:rPr>
        <w:t>"תובענה אחרת בענייני משפחה, לרבות תובענה שהצדדים לה הם בני זוג או הורים וילדיהם שלא נקבע לה מקום שיפוט לפי תקנת משנה (א), תוגש לבית המשפט שבתחום שיפוטו מצוי מקום מגורי התובע; תובענה הכוללת כמה תובעים, תוגש לבית משפט שבתחום שיפוטו מצוי מקום מגורי אחד מהם".</w:t>
      </w:r>
    </w:p>
    <w:p w:rsidR="00C0152C" w:rsidRDefault="00C0152C"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u w:val="single"/>
          <w:rtl/>
        </w:rPr>
        <w:t>בעניינו</w:t>
      </w:r>
      <w:r w:rsidRPr="00C0152C">
        <w:rPr>
          <w:rFonts w:ascii="David" w:eastAsia="Times New Roman" w:hAnsi="David" w:cs="David"/>
          <w:spacing w:val="10"/>
          <w:sz w:val="24"/>
          <w:szCs w:val="24"/>
          <w:rtl/>
        </w:rPr>
        <w:t>, עסקינן בתובענה שלא נקבע לה מקום שיפוט לפי תקנת משנה (א) שהרי התקנה האמורה אינה רלבנטית לענייננו, שכן היא מורה כי:</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C0152C">
        <w:rPr>
          <w:rFonts w:ascii="David" w:eastAsia="Times New Roman" w:hAnsi="David" w:cs="David"/>
          <w:b/>
          <w:bCs/>
          <w:spacing w:val="10"/>
          <w:sz w:val="24"/>
          <w:szCs w:val="24"/>
          <w:rtl/>
        </w:rPr>
        <w:t>"</w:t>
      </w:r>
      <w:r w:rsidRPr="00C0152C">
        <w:rPr>
          <w:rFonts w:ascii="David" w:hAnsi="David" w:cs="David"/>
          <w:b/>
          <w:bCs/>
          <w:sz w:val="24"/>
          <w:szCs w:val="24"/>
          <w:shd w:val="clear" w:color="auto" w:fill="FFFFFF"/>
          <w:rtl/>
        </w:rPr>
        <w:t>תובענה ראשונה בענייני משפחה שהצדדים לה הם בני זוג או הורים וילדיהם תוגש לבית המשפט שבתחום שיפוטו מצוי מקום מגוריהם המשותף, ואם אין להם מקום מגורים משותף – מקום מגוריהם המשותף האחרון בישראל, ובלבד שאחד הצדדים עדיין מתגורר באותו מקום מגורים; ואולם אם התובענה בעניינו של קטין, רשאי בית המשפט להורות על העברת הדיון בתובענה ובתיקים נוספים בין אותם צדדים, לבית משפט במקום אחר"</w:t>
      </w:r>
      <w:r w:rsidRPr="00C0152C">
        <w:rPr>
          <w:rFonts w:ascii="David" w:hAnsi="David" w:cs="David"/>
          <w:b/>
          <w:bCs/>
          <w:sz w:val="24"/>
          <w:szCs w:val="24"/>
          <w:shd w:val="clear" w:color="auto" w:fill="FFFFFF"/>
        </w:rPr>
        <w:t>.</w:t>
      </w:r>
    </w:p>
    <w:p w:rsidR="00C0152C" w:rsidRDefault="00C0152C"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rtl/>
        </w:rPr>
        <w:t>משכך, על פי תקנה 6 (ב) לתקנות לעיל, התובענה תוגש לבית המשפט שבתחום שיפוטו מצוי מקום מגורי התובע. במקרה דנן, אין חולק כי</w:t>
      </w:r>
      <w:r w:rsidR="00C0152C" w:rsidRPr="00C0152C">
        <w:rPr>
          <w:rFonts w:ascii="David" w:eastAsia="Times New Roman" w:hAnsi="David" w:cs="David"/>
          <w:spacing w:val="10"/>
          <w:sz w:val="24"/>
          <w:szCs w:val="24"/>
          <w:rtl/>
        </w:rPr>
        <w:t xml:space="preserve"> פלונית </w:t>
      </w:r>
      <w:r w:rsidRPr="00C0152C">
        <w:rPr>
          <w:rFonts w:ascii="David" w:eastAsia="Times New Roman" w:hAnsi="David" w:cs="David"/>
          <w:spacing w:val="10"/>
          <w:sz w:val="24"/>
          <w:szCs w:val="24"/>
          <w:rtl/>
        </w:rPr>
        <w:t>(התובעת) מתגוררת ב</w:t>
      </w:r>
      <w:r w:rsidRPr="00C0152C">
        <w:rPr>
          <w:rFonts w:ascii="David" w:eastAsia="Times New Roman" w:hAnsi="David" w:cs="David"/>
          <w:spacing w:val="10"/>
          <w:sz w:val="24"/>
          <w:szCs w:val="24"/>
        </w:rPr>
        <w:t>XXX</w:t>
      </w:r>
      <w:r w:rsidRPr="00C0152C">
        <w:rPr>
          <w:rFonts w:ascii="David" w:eastAsia="Times New Roman" w:hAnsi="David" w:cs="David"/>
          <w:spacing w:val="10"/>
          <w:sz w:val="24"/>
          <w:szCs w:val="24"/>
          <w:rtl/>
        </w:rPr>
        <w:t xml:space="preserve"> (ראו: הכתובת שציין המבקש בכותרת תביעתו בביהמ"ש לענייני משפחה ב</w:t>
      </w:r>
      <w:r w:rsidRPr="00C0152C">
        <w:rPr>
          <w:rFonts w:ascii="David" w:eastAsia="Times New Roman" w:hAnsi="David" w:cs="David"/>
          <w:spacing w:val="10"/>
          <w:sz w:val="24"/>
          <w:szCs w:val="24"/>
        </w:rPr>
        <w:t>XXX</w:t>
      </w:r>
      <w:r w:rsidRPr="00C0152C">
        <w:rPr>
          <w:rFonts w:ascii="David" w:eastAsia="Times New Roman" w:hAnsi="David" w:cs="David"/>
          <w:spacing w:val="10"/>
          <w:sz w:val="24"/>
          <w:szCs w:val="24"/>
          <w:rtl/>
        </w:rPr>
        <w:t>- צורף להודעתו מיום 28.5.24). מכאן כי על פי התקנות, הסמכות המקומית מסורה לבית משפט זה.</w:t>
      </w:r>
    </w:p>
    <w:p w:rsidR="000814C4" w:rsidRPr="00C0152C" w:rsidRDefault="000814C4" w:rsidP="00C0152C">
      <w:pPr>
        <w:pStyle w:val="ad"/>
        <w:tabs>
          <w:tab w:val="left" w:pos="368"/>
          <w:tab w:val="left" w:pos="509"/>
        </w:tabs>
        <w:overflowPunct w:val="0"/>
        <w:autoSpaceDE w:val="0"/>
        <w:autoSpaceDN w:val="0"/>
        <w:adjustRightInd w:val="0"/>
        <w:spacing w:after="0" w:line="360" w:lineRule="auto"/>
        <w:ind w:left="368"/>
        <w:jc w:val="both"/>
        <w:textAlignment w:val="baseline"/>
        <w:rPr>
          <w:rFonts w:ascii="David" w:eastAsia="Times New Roman" w:hAnsi="David" w:cs="David"/>
          <w:spacing w:val="10"/>
          <w:sz w:val="24"/>
          <w:szCs w:val="24"/>
          <w:rtl/>
        </w:rPr>
      </w:pPr>
    </w:p>
    <w:p w:rsidR="000814C4" w:rsidRPr="00C0152C" w:rsidRDefault="000814C4" w:rsidP="00C0152C">
      <w:pPr>
        <w:pStyle w:val="ad"/>
        <w:numPr>
          <w:ilvl w:val="0"/>
          <w:numId w:val="1"/>
        </w:numPr>
        <w:tabs>
          <w:tab w:val="left" w:pos="283"/>
          <w:tab w:val="left" w:pos="368"/>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rtl/>
        </w:rPr>
        <w:t>עוד ייאמר כי בהחלטתי מיום 29.8.24 התבקש ב"כ המבקש להגיש לתיק הודעת הבהרה במסגרתה יפרט את מספרי התיקים שהתנהלו בבית המשפט לענייני משפחה ב</w:t>
      </w:r>
      <w:r w:rsidRPr="00C0152C">
        <w:rPr>
          <w:rFonts w:ascii="David" w:eastAsia="Times New Roman" w:hAnsi="David" w:cs="David"/>
          <w:spacing w:val="10"/>
          <w:sz w:val="24"/>
          <w:szCs w:val="24"/>
        </w:rPr>
        <w:t>XXX</w:t>
      </w:r>
      <w:r w:rsidRPr="00C0152C">
        <w:rPr>
          <w:rFonts w:ascii="David" w:eastAsia="Times New Roman" w:hAnsi="David" w:cs="David"/>
          <w:spacing w:val="10"/>
          <w:sz w:val="24"/>
          <w:szCs w:val="24"/>
          <w:rtl/>
        </w:rPr>
        <w:t xml:space="preserve"> בעבר (כנטען על ידו בסעיף 10 לתביעת המבקש) וכן את מהותם, וזאת לנוכח הוראות תקנה 6 (ד) לתקנות </w:t>
      </w:r>
      <w:r w:rsidRPr="00C0152C">
        <w:rPr>
          <w:rFonts w:ascii="David" w:hAnsi="David" w:cs="David"/>
          <w:sz w:val="24"/>
          <w:szCs w:val="24"/>
          <w:rtl/>
        </w:rPr>
        <w:t xml:space="preserve">בית המשפט לענייני משפחה </w:t>
      </w:r>
      <w:r w:rsidRPr="00C0152C">
        <w:rPr>
          <w:rFonts w:ascii="David" w:eastAsia="Times New Roman" w:hAnsi="David" w:cs="David"/>
          <w:spacing w:val="10"/>
          <w:sz w:val="24"/>
          <w:szCs w:val="24"/>
          <w:rtl/>
        </w:rPr>
        <w:t>הקובעת כדלקמן:</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Pr>
      </w:pPr>
      <w:r w:rsidRPr="00C0152C">
        <w:rPr>
          <w:rFonts w:ascii="David" w:hAnsi="David" w:cs="David"/>
          <w:b/>
          <w:bCs/>
          <w:sz w:val="24"/>
          <w:szCs w:val="24"/>
          <w:rtl/>
        </w:rPr>
        <w:t>"תובענה חדשה נוספת בענייני משפחה תוגש לאותו בית משפט לענייני משפחה שדן בתובענה קודמת בין הצדדים, אלא אם כן הורה בית המשפט אחרת כאמור</w:t>
      </w:r>
      <w:r w:rsidRPr="00C0152C">
        <w:rPr>
          <w:rFonts w:ascii="Tahoma" w:hAnsi="Tahoma" w:cs="Tahoma"/>
          <w:b/>
          <w:bCs/>
          <w:sz w:val="24"/>
          <w:szCs w:val="24"/>
        </w:rPr>
        <w:t>﻿</w:t>
      </w:r>
      <w:r w:rsidRPr="00C0152C">
        <w:rPr>
          <w:rFonts w:ascii="David" w:hAnsi="David" w:cs="David"/>
          <w:b/>
          <w:bCs/>
          <w:sz w:val="24"/>
          <w:szCs w:val="24"/>
          <w:rtl/>
        </w:rPr>
        <w:t xml:space="preserve"> בסעיף 6(ד) לחוק; החל בית משפט לדון בתובענה חדשה בענייני משפחה בלא שניתנה הוראה בעניין לפי סעיף 6(ד) לחוק, ונוכח לדעת כי בית משפט אחר דן בתובענה קודמת בעניינם, בין שהסתיים בה הדיון ובין שהיא עדיין תלויה ועומדת, יעביר את התובענה לאותו בית משפט שימשיך לדון בה מהשלב שאליו הגיע בית המשפט שהעבירה, אלא אם כן מצא, מטעמים מיוחדים שיירשמו, כי לשם בירור התובענה עליו לדון בה כאילו לכתחילה הובאה לפניו".</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eastAsia="Times New Roman" w:hAnsi="David" w:cs="David"/>
          <w:spacing w:val="10"/>
          <w:sz w:val="24"/>
          <w:szCs w:val="24"/>
          <w:rtl/>
        </w:rPr>
        <w:t>ואולם, ב"כ המבקש הבהיר בהודעתו מיום 1.9.24 בסעיף 2:</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b/>
          <w:bCs/>
          <w:spacing w:val="10"/>
          <w:sz w:val="24"/>
          <w:szCs w:val="24"/>
          <w:rtl/>
        </w:rPr>
      </w:pPr>
      <w:r w:rsidRPr="00C0152C">
        <w:rPr>
          <w:rFonts w:ascii="David" w:eastAsia="Times New Roman" w:hAnsi="David" w:cs="David"/>
          <w:b/>
          <w:bCs/>
          <w:spacing w:val="10"/>
          <w:sz w:val="24"/>
          <w:szCs w:val="24"/>
          <w:rtl/>
        </w:rPr>
        <w:t>"2. המבקש מודיע כי לאחר בדיקה, התברר כי מעבר לתיקים שמתנהלים בין הצדדים היום, תיק זה והתיק הנוסף ב</w:t>
      </w:r>
      <w:r w:rsidRPr="00C0152C">
        <w:rPr>
          <w:rFonts w:ascii="David" w:eastAsia="Times New Roman" w:hAnsi="David" w:cs="David"/>
          <w:b/>
          <w:bCs/>
          <w:spacing w:val="10"/>
          <w:sz w:val="24"/>
          <w:szCs w:val="24"/>
        </w:rPr>
        <w:t>XXX</w:t>
      </w:r>
      <w:r w:rsidRPr="00C0152C">
        <w:rPr>
          <w:rFonts w:ascii="David" w:eastAsia="Times New Roman" w:hAnsi="David" w:cs="David"/>
          <w:b/>
          <w:bCs/>
          <w:spacing w:val="10"/>
          <w:sz w:val="24"/>
          <w:szCs w:val="24"/>
          <w:rtl/>
        </w:rPr>
        <w:t>, התנהל תיק ה"ט 76584-05-24 בביהמ"ש לענייני משפחה ב</w:t>
      </w:r>
      <w:r w:rsidRPr="00C0152C">
        <w:rPr>
          <w:rFonts w:ascii="David" w:eastAsia="Times New Roman" w:hAnsi="David" w:cs="David"/>
          <w:b/>
          <w:bCs/>
          <w:spacing w:val="10"/>
          <w:sz w:val="24"/>
          <w:szCs w:val="24"/>
        </w:rPr>
        <w:t>XXX</w:t>
      </w:r>
      <w:r w:rsidRPr="00C0152C">
        <w:rPr>
          <w:rFonts w:ascii="David" w:eastAsia="Times New Roman" w:hAnsi="David" w:cs="David"/>
          <w:b/>
          <w:bCs/>
          <w:spacing w:val="10"/>
          <w:sz w:val="24"/>
          <w:szCs w:val="24"/>
          <w:rtl/>
        </w:rPr>
        <w:t>".</w:t>
      </w:r>
    </w:p>
    <w:p w:rsidR="000814C4" w:rsidRPr="00C0152C" w:rsidRDefault="000814C4" w:rsidP="00C0152C">
      <w:pPr>
        <w:pStyle w:val="ad"/>
        <w:tabs>
          <w:tab w:val="left" w:pos="283"/>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p>
    <w:p w:rsidR="000814C4" w:rsidRPr="00C0152C" w:rsidRDefault="000814C4" w:rsidP="00C0152C">
      <w:pPr>
        <w:pStyle w:val="Ruller4"/>
        <w:ind w:left="283"/>
        <w:rPr>
          <w:rFonts w:ascii="David" w:hAnsi="David" w:cs="David"/>
          <w:sz w:val="24"/>
          <w:szCs w:val="24"/>
          <w:rtl/>
        </w:rPr>
      </w:pPr>
      <w:r w:rsidRPr="00C0152C">
        <w:rPr>
          <w:rFonts w:ascii="David" w:eastAsiaTheme="minorHAnsi" w:hAnsi="David" w:cs="David"/>
          <w:spacing w:val="0"/>
          <w:sz w:val="24"/>
          <w:szCs w:val="24"/>
          <w:rtl/>
        </w:rPr>
        <w:t xml:space="preserve">מכאן כי </w:t>
      </w:r>
      <w:r w:rsidRPr="00C0152C">
        <w:rPr>
          <w:rFonts w:ascii="David" w:hAnsi="David" w:cs="David"/>
          <w:sz w:val="24"/>
          <w:szCs w:val="24"/>
          <w:rtl/>
        </w:rPr>
        <w:t xml:space="preserve">תקנה 6 (ד) לתקנות בית המשפט לענייני משפחה אינה רלבנטית לענייננו, שעה שתביעת המבקש הוגשה </w:t>
      </w:r>
      <w:r w:rsidRPr="00C0152C">
        <w:rPr>
          <w:rFonts w:ascii="David" w:hAnsi="David" w:cs="David"/>
          <w:sz w:val="24"/>
          <w:szCs w:val="24"/>
          <w:u w:val="single"/>
          <w:rtl/>
        </w:rPr>
        <w:t>לאחר</w:t>
      </w:r>
      <w:r w:rsidRPr="00C0152C">
        <w:rPr>
          <w:rFonts w:ascii="David" w:hAnsi="David" w:cs="David"/>
          <w:sz w:val="24"/>
          <w:szCs w:val="24"/>
          <w:rtl/>
        </w:rPr>
        <w:t xml:space="preserve"> הגשת התביעה על ידי המשיבות בבית משפט זה.</w:t>
      </w:r>
    </w:p>
    <w:p w:rsidR="000814C4" w:rsidRPr="00C0152C" w:rsidRDefault="000814C4" w:rsidP="00C0152C">
      <w:pPr>
        <w:pStyle w:val="Ruller4"/>
        <w:rPr>
          <w:rFonts w:ascii="David" w:hAnsi="David" w:cs="David"/>
          <w:sz w:val="24"/>
          <w:szCs w:val="24"/>
        </w:rPr>
      </w:pPr>
    </w:p>
    <w:p w:rsidR="000814C4" w:rsidRPr="00C0152C" w:rsidRDefault="000814C4" w:rsidP="00C0152C">
      <w:pPr>
        <w:pStyle w:val="ad"/>
        <w:numPr>
          <w:ilvl w:val="0"/>
          <w:numId w:val="1"/>
        </w:numPr>
        <w:tabs>
          <w:tab w:val="left" w:pos="368"/>
          <w:tab w:val="left" w:pos="509"/>
        </w:tabs>
        <w:overflowPunct w:val="0"/>
        <w:autoSpaceDE w:val="0"/>
        <w:autoSpaceDN w:val="0"/>
        <w:adjustRightInd w:val="0"/>
        <w:spacing w:after="0" w:line="360" w:lineRule="auto"/>
        <w:ind w:left="283"/>
        <w:jc w:val="both"/>
        <w:textAlignment w:val="baseline"/>
        <w:rPr>
          <w:rFonts w:ascii="David" w:eastAsia="Times New Roman" w:hAnsi="David" w:cs="David"/>
          <w:spacing w:val="10"/>
          <w:sz w:val="24"/>
          <w:szCs w:val="24"/>
          <w:rtl/>
        </w:rPr>
      </w:pPr>
      <w:r w:rsidRPr="00C0152C">
        <w:rPr>
          <w:rFonts w:ascii="David" w:hAnsi="David" w:cs="David"/>
          <w:sz w:val="24"/>
          <w:szCs w:val="24"/>
          <w:rtl/>
        </w:rPr>
        <w:t xml:space="preserve">הנה כי כן, </w:t>
      </w:r>
      <w:r w:rsidRPr="00C0152C">
        <w:rPr>
          <w:rFonts w:ascii="David" w:hAnsi="David" w:cs="David"/>
          <w:spacing w:val="10"/>
          <w:sz w:val="24"/>
          <w:szCs w:val="24"/>
          <w:rtl/>
        </w:rPr>
        <w:t>הסמכות המקומית לדון בתביעה נתונה לבית משפט זה.</w:t>
      </w:r>
    </w:p>
    <w:p w:rsidR="000814C4" w:rsidRPr="00C0152C" w:rsidRDefault="000814C4" w:rsidP="00C0152C">
      <w:pPr>
        <w:pStyle w:val="Ruller4"/>
        <w:ind w:left="368"/>
        <w:rPr>
          <w:rFonts w:ascii="David" w:hAnsi="David" w:cs="David"/>
          <w:sz w:val="24"/>
          <w:szCs w:val="24"/>
        </w:rPr>
      </w:pPr>
    </w:p>
    <w:p w:rsidR="000814C4" w:rsidRPr="00C0152C" w:rsidRDefault="000814C4" w:rsidP="00C0152C">
      <w:pPr>
        <w:spacing w:line="360" w:lineRule="auto"/>
        <w:ind w:left="-142"/>
        <w:jc w:val="both"/>
        <w:rPr>
          <w:rFonts w:ascii="David" w:hAnsi="David"/>
          <w:b/>
          <w:bCs/>
          <w:u w:val="single"/>
          <w:rtl/>
        </w:rPr>
      </w:pPr>
      <w:r w:rsidRPr="00C0152C">
        <w:rPr>
          <w:rFonts w:ascii="David" w:hAnsi="David"/>
          <w:b/>
          <w:bCs/>
          <w:u w:val="single"/>
          <w:rtl/>
        </w:rPr>
        <w:t>סיכומה של נקודה:</w:t>
      </w:r>
    </w:p>
    <w:p w:rsidR="000814C4" w:rsidRPr="00C0152C" w:rsidRDefault="000814C4" w:rsidP="00C0152C">
      <w:pPr>
        <w:spacing w:line="360" w:lineRule="auto"/>
        <w:jc w:val="both"/>
        <w:rPr>
          <w:rFonts w:ascii="David" w:hAnsi="David"/>
          <w:b/>
          <w:bCs/>
          <w:u w:val="single"/>
          <w:rtl/>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לנוכח כל האמור והמפורט, הבקשה למחיקת התביעה- נדחית.</w:t>
      </w:r>
    </w:p>
    <w:p w:rsidR="000814C4" w:rsidRPr="00C0152C" w:rsidRDefault="000814C4" w:rsidP="00C0152C">
      <w:pPr>
        <w:pStyle w:val="ad"/>
        <w:spacing w:after="0" w:line="360" w:lineRule="auto"/>
        <w:ind w:left="283"/>
        <w:jc w:val="both"/>
        <w:rPr>
          <w:rFonts w:ascii="David" w:hAnsi="David" w:cs="David"/>
          <w:sz w:val="24"/>
          <w:szCs w:val="24"/>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Pr>
      </w:pPr>
      <w:r w:rsidRPr="00C0152C">
        <w:rPr>
          <w:rFonts w:ascii="David" w:hAnsi="David" w:cs="David"/>
          <w:sz w:val="24"/>
          <w:szCs w:val="24"/>
          <w:rtl/>
        </w:rPr>
        <w:t>הנני קובעת כי הסמכות העניינית והמקומית נתונה לבית משפט זה.</w:t>
      </w:r>
    </w:p>
    <w:p w:rsidR="000814C4" w:rsidRPr="00C0152C" w:rsidRDefault="000814C4" w:rsidP="00C0152C">
      <w:pPr>
        <w:pStyle w:val="ad"/>
        <w:spacing w:after="0" w:line="360" w:lineRule="auto"/>
        <w:ind w:left="283"/>
        <w:jc w:val="both"/>
        <w:rPr>
          <w:rFonts w:ascii="David" w:eastAsia="Times New Roman" w:hAnsi="David" w:cs="David"/>
          <w:b/>
          <w:bCs/>
          <w:noProof/>
          <w:sz w:val="24"/>
          <w:szCs w:val="24"/>
          <w:u w:val="single"/>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Pr>
      </w:pPr>
      <w:r w:rsidRPr="00C0152C">
        <w:rPr>
          <w:rFonts w:ascii="David" w:eastAsia="Times New Roman" w:hAnsi="David" w:cs="David"/>
          <w:b/>
          <w:bCs/>
          <w:noProof/>
          <w:sz w:val="24"/>
          <w:szCs w:val="24"/>
          <w:u w:val="single"/>
          <w:rtl/>
        </w:rPr>
        <w:t xml:space="preserve">אני קובעת מועד לישיבת קדם משפט ליום </w:t>
      </w:r>
      <w:r w:rsidRPr="00C0152C">
        <w:rPr>
          <w:rFonts w:ascii="David" w:eastAsia="Times New Roman" w:hAnsi="David" w:cs="David"/>
          <w:b/>
          <w:bCs/>
          <w:noProof/>
          <w:sz w:val="24"/>
          <w:szCs w:val="24"/>
          <w:u w:val="single"/>
        </w:rPr>
        <w:t>XXX</w:t>
      </w:r>
      <w:r w:rsidRPr="00C0152C">
        <w:rPr>
          <w:rFonts w:ascii="David" w:eastAsia="Times New Roman" w:hAnsi="David" w:cs="David"/>
          <w:b/>
          <w:bCs/>
          <w:noProof/>
          <w:sz w:val="24"/>
          <w:szCs w:val="24"/>
          <w:u w:val="single"/>
          <w:rtl/>
        </w:rPr>
        <w:t xml:space="preserve"> בשעה 09:00.</w:t>
      </w:r>
    </w:p>
    <w:p w:rsidR="000814C4" w:rsidRPr="00C0152C" w:rsidRDefault="000814C4" w:rsidP="00C0152C">
      <w:pPr>
        <w:pStyle w:val="ad"/>
        <w:spacing w:after="0" w:line="360" w:lineRule="auto"/>
        <w:jc w:val="both"/>
        <w:rPr>
          <w:rFonts w:ascii="David" w:hAnsi="David" w:cs="David"/>
          <w:sz w:val="24"/>
          <w:szCs w:val="24"/>
          <w:rtl/>
        </w:rPr>
      </w:pPr>
    </w:p>
    <w:p w:rsidR="000814C4" w:rsidRPr="00C0152C" w:rsidRDefault="000814C4" w:rsidP="00C0152C">
      <w:pPr>
        <w:pStyle w:val="ad"/>
        <w:numPr>
          <w:ilvl w:val="0"/>
          <w:numId w:val="1"/>
        </w:numPr>
        <w:spacing w:after="0" w:line="360" w:lineRule="auto"/>
        <w:ind w:left="283"/>
        <w:jc w:val="both"/>
        <w:rPr>
          <w:rFonts w:ascii="David" w:hAnsi="David" w:cs="David"/>
          <w:sz w:val="24"/>
          <w:szCs w:val="24"/>
          <w:rtl/>
        </w:rPr>
      </w:pPr>
      <w:r w:rsidRPr="00C0152C">
        <w:rPr>
          <w:rFonts w:ascii="David" w:hAnsi="David" w:cs="David"/>
          <w:sz w:val="24"/>
          <w:szCs w:val="24"/>
          <w:rtl/>
        </w:rPr>
        <w:t>ההחלטה מותרת לפרסום בהשמטת כל פרט מזהה, תיקוני עריכה והגהה.</w:t>
      </w:r>
    </w:p>
    <w:p w:rsidR="000814C4" w:rsidRPr="00C0152C" w:rsidRDefault="000814C4" w:rsidP="00C0152C">
      <w:pPr>
        <w:spacing w:line="360" w:lineRule="auto"/>
        <w:contextualSpacing/>
        <w:jc w:val="both"/>
        <w:rPr>
          <w:rFonts w:ascii="David" w:hAnsi="David"/>
          <w:rtl/>
        </w:rPr>
      </w:pPr>
    </w:p>
    <w:p w:rsidR="000814C4" w:rsidRDefault="000814C4" w:rsidP="00C0152C">
      <w:pPr>
        <w:spacing w:line="360" w:lineRule="auto"/>
        <w:ind w:left="-142"/>
        <w:contextualSpacing/>
        <w:jc w:val="both"/>
        <w:rPr>
          <w:rFonts w:ascii="David" w:hAnsi="David"/>
          <w:b/>
          <w:bCs/>
          <w:u w:val="single"/>
          <w:rtl/>
        </w:rPr>
      </w:pPr>
      <w:r w:rsidRPr="00C0152C">
        <w:rPr>
          <w:rFonts w:ascii="David" w:hAnsi="David"/>
          <w:b/>
          <w:bCs/>
          <w:u w:val="single"/>
          <w:rtl/>
        </w:rPr>
        <w:t>המזכירות תמציא העתק החלטתי לב"כ הצדדים.</w:t>
      </w:r>
    </w:p>
    <w:p w:rsidR="00C0152C" w:rsidRDefault="00C0152C" w:rsidP="00C0152C">
      <w:pPr>
        <w:spacing w:line="360" w:lineRule="auto"/>
        <w:ind w:left="-142"/>
        <w:contextualSpacing/>
        <w:jc w:val="both"/>
        <w:rPr>
          <w:rFonts w:ascii="David" w:hAnsi="David"/>
          <w:noProof w:val="0"/>
          <w:rtl/>
        </w:rPr>
      </w:pPr>
    </w:p>
    <w:p w:rsidR="00C0152C" w:rsidRDefault="00C0152C" w:rsidP="00C0152C">
      <w:pPr>
        <w:spacing w:line="360" w:lineRule="auto"/>
        <w:ind w:left="-142"/>
        <w:contextualSpacing/>
        <w:jc w:val="both"/>
        <w:rPr>
          <w:rFonts w:ascii="David" w:hAnsi="David"/>
          <w:noProof w:val="0"/>
          <w:rtl/>
        </w:rPr>
      </w:pPr>
    </w:p>
    <w:p w:rsidR="00C0152C" w:rsidRDefault="00C0152C" w:rsidP="00C0152C">
      <w:pPr>
        <w:spacing w:line="360" w:lineRule="auto"/>
        <w:ind w:left="-142"/>
        <w:contextualSpacing/>
        <w:jc w:val="both"/>
        <w:rPr>
          <w:rFonts w:ascii="David" w:hAnsi="David"/>
          <w:noProof w:val="0"/>
          <w:rtl/>
        </w:rPr>
      </w:pPr>
    </w:p>
    <w:p w:rsidR="000814C4" w:rsidRPr="00C0152C" w:rsidRDefault="000814C4" w:rsidP="00C0152C">
      <w:pPr>
        <w:spacing w:line="360" w:lineRule="auto"/>
        <w:ind w:left="-142"/>
        <w:contextualSpacing/>
        <w:jc w:val="both"/>
        <w:rPr>
          <w:rFonts w:ascii="David" w:hAnsi="David"/>
          <w:b/>
          <w:bCs/>
          <w:u w:val="single"/>
          <w:rtl/>
        </w:rPr>
      </w:pPr>
      <w:r w:rsidRPr="00C0152C">
        <w:rPr>
          <w:rFonts w:ascii="David" w:hAnsi="David"/>
          <w:noProof w:val="0"/>
          <w:rtl/>
        </w:rPr>
        <w:lastRenderedPageBreak/>
        <w:t xml:space="preserve">ניתנה היום,  </w:t>
      </w:r>
      <w:sdt>
        <w:sdtPr>
          <w:rPr>
            <w:rFonts w:ascii="David" w:hAnsi="David"/>
            <w:rtl/>
          </w:rPr>
          <w:alias w:val="1455"/>
          <w:tag w:val="1455"/>
          <w:id w:val="1845438649"/>
          <w:text w:multiLine="1"/>
        </w:sdtPr>
        <w:sdtEndPr/>
        <w:sdtContent>
          <w:r w:rsidRPr="00C0152C">
            <w:rPr>
              <w:rFonts w:ascii="David" w:hAnsi="David"/>
              <w:noProof w:val="0"/>
              <w:rtl/>
            </w:rPr>
            <w:t>ו' אלול תשפ"ד</w:t>
          </w:r>
        </w:sdtContent>
      </w:sdt>
      <w:r w:rsidRPr="00C0152C">
        <w:rPr>
          <w:rFonts w:ascii="David" w:hAnsi="David"/>
          <w:noProof w:val="0"/>
          <w:rtl/>
        </w:rPr>
        <w:t xml:space="preserve">, </w:t>
      </w:r>
      <w:sdt>
        <w:sdtPr>
          <w:rPr>
            <w:rFonts w:ascii="David" w:hAnsi="David"/>
            <w:rtl/>
          </w:rPr>
          <w:alias w:val="1456"/>
          <w:tag w:val="1456"/>
          <w:id w:val="-2061860040"/>
          <w:text w:multiLine="1"/>
        </w:sdtPr>
        <w:sdtEndPr/>
        <w:sdtContent>
          <w:r w:rsidRPr="00C0152C">
            <w:rPr>
              <w:rFonts w:ascii="David" w:hAnsi="David"/>
              <w:noProof w:val="0"/>
              <w:rtl/>
            </w:rPr>
            <w:t>09 ספטמבר 2024</w:t>
          </w:r>
        </w:sdtContent>
      </w:sdt>
      <w:r w:rsidRPr="00C0152C">
        <w:rPr>
          <w:rFonts w:ascii="David" w:hAnsi="David"/>
          <w:noProof w:val="0"/>
          <w:rtl/>
        </w:rPr>
        <w:t>, בהעדר הצדדים.</w:t>
      </w:r>
    </w:p>
    <w:p w:rsidR="00694556" w:rsidRPr="00C0152C" w:rsidRDefault="000814C4" w:rsidP="00C0152C">
      <w:pPr>
        <w:spacing w:line="360" w:lineRule="auto"/>
        <w:jc w:val="both"/>
        <w:rPr>
          <w:rFonts w:ascii="David" w:hAnsi="David"/>
          <w:noProof w:val="0"/>
          <w:rtl/>
        </w:rPr>
      </w:pPr>
      <w:r w:rsidRPr="00C0152C">
        <w:rPr>
          <w:rFonts w:ascii="David" w:hAnsi="David"/>
          <w:noProof w:val="0"/>
          <w:rtl/>
        </w:rPr>
        <w:t xml:space="preserve">            </w:t>
      </w:r>
      <w:r w:rsidR="00C0152C">
        <w:rPr>
          <w:rFonts w:ascii="David" w:hAnsi="David" w:hint="cs"/>
          <w:noProof w:val="0"/>
          <w:rtl/>
        </w:rPr>
        <w:t xml:space="preserve">              </w:t>
      </w:r>
      <w:r w:rsidRPr="00C0152C">
        <w:rPr>
          <w:rFonts w:ascii="David" w:hAnsi="David"/>
          <w:noProof w:val="0"/>
          <w:rtl/>
        </w:rPr>
        <w:t xml:space="preserve">                                                     </w:t>
      </w:r>
      <w:r w:rsidRPr="00C0152C">
        <w:rPr>
          <w:rFonts w:ascii="David" w:hAnsi="David"/>
        </w:rPr>
        <w:drawing>
          <wp:inline distT="0" distB="0" distL="0" distR="0" wp14:anchorId="01060415" wp14:editId="5ED74CF4">
            <wp:extent cx="1971675" cy="1181100"/>
            <wp:effectExtent l="0" t="0" r="9525" b="0"/>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694556" w:rsidRPr="00C0152C" w:rsidSect="00903896">
      <w:headerReference w:type="even" r:id="rId17"/>
      <w:headerReference w:type="default" r:id="rId18"/>
      <w:footerReference w:type="even" r:id="rId19"/>
      <w:footerReference w:type="default" r:id="rId20"/>
      <w:headerReference w:type="first" r:id="rId21"/>
      <w:footerReference w:type="first" r:id="rId2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88B" w:rsidRDefault="004C088B">
      <w:r>
        <w:separator/>
      </w:r>
    </w:p>
  </w:endnote>
  <w:endnote w:type="continuationSeparator" w:id="0">
    <w:p w:rsidR="004C088B" w:rsidRDefault="004C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1A4" w:rsidRDefault="00E051A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105FF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051A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051A4">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1A4" w:rsidRDefault="00E051A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88B" w:rsidRDefault="004C088B">
      <w:r>
        <w:separator/>
      </w:r>
    </w:p>
  </w:footnote>
  <w:footnote w:type="continuationSeparator" w:id="0">
    <w:p w:rsidR="004C088B" w:rsidRDefault="004C0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1A4" w:rsidRDefault="00E051A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338E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022438735"/>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051A4" w:rsidP="00C706D3">
          <w:pPr>
            <w:rPr>
              <w:b/>
              <w:bCs/>
              <w:noProof w:val="0"/>
              <w:sz w:val="26"/>
              <w:szCs w:val="26"/>
              <w:rtl/>
            </w:rPr>
          </w:pPr>
          <w:sdt>
            <w:sdtPr>
              <w:rPr>
                <w:rtl/>
              </w:rPr>
              <w:alias w:val="1170"/>
              <w:tag w:val="1170"/>
              <w:id w:val="2043704132"/>
              <w:text w:multiLine="1"/>
            </w:sdtPr>
            <w:sdtEndPr/>
            <w:sdtContent>
              <w:r w:rsidR="00227F7A">
                <w:rPr>
                  <w:b/>
                  <w:bCs/>
                  <w:noProof w:val="0"/>
                  <w:sz w:val="26"/>
                  <w:szCs w:val="26"/>
                  <w:rtl/>
                </w:rPr>
                <w:t>תמ"ש</w:t>
              </w:r>
            </w:sdtContent>
          </w:sdt>
          <w:r w:rsidR="00005C8B">
            <w:rPr>
              <w:b/>
              <w:bCs/>
              <w:noProof w:val="0"/>
              <w:sz w:val="26"/>
              <w:szCs w:val="26"/>
              <w:rtl/>
            </w:rPr>
            <w:t xml:space="preserve"> </w:t>
          </w:r>
          <w:bookmarkStart w:id="1" w:name="_GoBack"/>
          <w:sdt>
            <w:sdtPr>
              <w:rPr>
                <w:rtl/>
              </w:rPr>
              <w:alias w:val="1171"/>
              <w:tag w:val="1171"/>
              <w:id w:val="1679002403"/>
              <w:text w:multiLine="1"/>
            </w:sdtPr>
            <w:sdtEndPr/>
            <w:sdtContent>
              <w:r w:rsidR="00227F7A">
                <w:rPr>
                  <w:b/>
                  <w:bCs/>
                  <w:noProof w:val="0"/>
                  <w:sz w:val="26"/>
                  <w:szCs w:val="26"/>
                  <w:rtl/>
                </w:rPr>
                <w:t>14369-10-23</w:t>
              </w:r>
            </w:sdtContent>
          </w:sdt>
          <w:bookmarkEnd w:id="1"/>
          <w:r w:rsidR="00005C8B">
            <w:rPr>
              <w:b/>
              <w:bCs/>
              <w:noProof w:val="0"/>
              <w:sz w:val="26"/>
              <w:szCs w:val="26"/>
              <w:rtl/>
            </w:rPr>
            <w:t xml:space="preserve"> </w:t>
          </w:r>
          <w:sdt>
            <w:sdtPr>
              <w:rPr>
                <w:rtl/>
              </w:rPr>
              <w:alias w:val="1172"/>
              <w:tag w:val="1172"/>
              <w:id w:val="707610100"/>
              <w:text w:multiLine="1"/>
            </w:sdtPr>
            <w:sdtEndPr/>
            <w:sdtContent>
              <w:r w:rsidR="00C706D3">
                <w:rPr>
                  <w:rFonts w:hint="cs"/>
                  <w:b/>
                  <w:bCs/>
                  <w:noProof w:val="0"/>
                  <w:sz w:val="26"/>
                  <w:szCs w:val="26"/>
                </w:rPr>
                <w:t>XXX</w:t>
              </w:r>
              <w:r w:rsidR="00227F7A">
                <w:rPr>
                  <w:b/>
                  <w:bCs/>
                  <w:noProof w:val="0"/>
                  <w:sz w:val="26"/>
                  <w:szCs w:val="26"/>
                  <w:rtl/>
                </w:rPr>
                <w:t xml:space="preserve"> ואח' נ' </w:t>
              </w:r>
              <w:r w:rsidR="00C706D3">
                <w:rPr>
                  <w:rFonts w:hint="cs"/>
                  <w:b/>
                  <w:bCs/>
                  <w:noProof w:val="0"/>
                  <w:sz w:val="26"/>
                  <w:szCs w:val="26"/>
                </w:rPr>
                <w:t>XXX</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1A4" w:rsidRDefault="00E051A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376A2"/>
    <w:multiLevelType w:val="hybridMultilevel"/>
    <w:tmpl w:val="F1C0F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5646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56460&amp;lt;/CaseID&amp;gt;_x000d__x000a_        &amp;lt;CaseMonth&amp;gt;10&amp;lt;/CaseMonth&amp;gt;_x000d__x000a_        &amp;lt;CaseYear&amp;gt;2023&amp;lt;/CaseYear&amp;gt;_x000d__x000a_        &amp;lt;CaseNumber&amp;gt;14369&amp;lt;/CaseNumber&amp;gt;_x000d__x000a_        &amp;lt;NumeratorGroupID&amp;gt;1&amp;lt;/NumeratorGroupID&amp;gt;_x000d__x000a_        &amp;lt;CaseName&amp;gt;גדעון ואח&amp;#39; נ&amp;#39; גדעון&amp;lt;/CaseName&amp;gt;_x000d__x000a_        &amp;lt;CourtID&amp;gt;26&amp;lt;/CourtID&amp;gt;_x000d__x000a_        &amp;lt;CaseTypeID&amp;gt;15&amp;lt;/CaseTypeID&amp;gt;_x000d__x000a_        &amp;lt;CaseInterestID&amp;gt;158&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369-10-23&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0-10T10:35: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56460&amp;lt;/CaseID&amp;gt;_x000d__x000a_        &amp;lt;CaseMonth&amp;gt;10&amp;lt;/CaseMonth&amp;gt;_x000d__x000a_        &amp;lt;CaseYear&amp;gt;2023&amp;lt;/CaseYear&amp;gt;_x000d__x000a_        &amp;lt;CaseNumber&amp;gt;14369&amp;lt;/CaseNumber&amp;gt;_x000d__x000a_        &amp;lt;NumeratorGroupID&amp;gt;1&amp;lt;/NumeratorGroupID&amp;gt;_x000d__x000a_        &amp;lt;CaseName&amp;gt;גדעון ואח&amp;#39; נ&amp;#39; גדעון&amp;lt;/CaseName&amp;gt;_x000d__x000a_        &amp;lt;CourtID&amp;gt;26&amp;lt;/CourtID&amp;gt;_x000d__x000a_        &amp;lt;CaseTypeID&amp;gt;15&amp;lt;/CaseTypeID&amp;gt;_x000d__x000a_        &amp;lt;CaseInterestID&amp;gt;158&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369-10-23&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3-10-10T10:35: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99292&amp;lt;/DecisionID&amp;gt;_x000d__x000a_        &amp;lt;DecisionName&amp;gt;החלטה  שניתנה ע&amp;quot;י  שושנה ברגר&amp;lt;/DecisionName&amp;gt;_x000d__x000a_        &amp;lt;DecisionStatusID&amp;gt;1&amp;lt;/DecisionStatusID&amp;gt;_x000d__x000a_        &amp;lt;DecisionStatusChangeDate&amp;gt;2024-09-09T12:13:36.383+03:00&amp;lt;/DecisionStatusChangeDate&amp;gt;_x000d__x000a_        &amp;lt;DecisionSignatureDate&amp;gt;2024-09-09T12:13:34.75+03:00&amp;lt;/DecisionSignatureDate&amp;gt;_x000d__x000a_        &amp;lt;DecisionSignatureUserID&amp;gt;057920175@GOV.IL&amp;lt;/DecisionSignatureUserID&amp;gt;_x000d__x000a_        &amp;lt;DecisionCreateDate&amp;gt;2024-09-04T15:17:48.243+03:00&amp;lt;/DecisionCreateDate&amp;gt;_x000d__x000a_        &amp;lt;DecisionChangeDate&amp;gt;2024-09-09T12:13:36.48+03:00&amp;lt;/DecisionChangeDate&amp;gt;_x000d__x000a_        &amp;lt;DecisionChangeUserID&amp;gt;0363192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19715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החלטה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4699292&amp;lt;/DecisionID&amp;gt;_x000d__x000a_        &amp;lt;CaseID&amp;gt;80656460&amp;lt;/CaseID&amp;gt;_x000d__x000a_        &amp;lt;IsOriginal&amp;gt;true&amp;lt;/IsOriginal&amp;gt;_x000d__x000a_        &amp;lt;IsDeleted&amp;gt;false&amp;lt;/IsDeleted&amp;gt;_x000d__x000a_        &amp;lt;CaseName&amp;gt;גדעון ואח&amp;#39; נ&amp;#39; גדעון&amp;lt;/CaseName&amp;gt;_x000d__x000a_        &amp;lt;CaseDisplayIdentifier&amp;gt;14369-10-23 תמ&amp;quot;ש&amp;lt;/CaseDisplayIdentifier&amp;gt;_x000d__x000a_      &amp;lt;/dt_DecisionCase&amp;gt;_x000d__x000a_    &amp;lt;/DecisionDS&amp;gt;_x000d__x000a_  &amp;lt;/diffgr:diffgram&amp;gt;_x000d__x000a_&amp;lt;/DecisionDS&amp;gt;"/>
    <w:docVar w:name="DecisionID" w:val="154699292"/>
    <w:docVar w:name="WordClientAssemblyName" w:val="NGCS.Decision.ClientWordBL"/>
    <w:docVar w:name="WordClientClassName" w:val="NGCS.Decision.ClientWordBL.DecisionClient"/>
  </w:docVars>
  <w:rsids>
    <w:rsidRoot w:val="00694556"/>
    <w:rsid w:val="00005C8B"/>
    <w:rsid w:val="000564AB"/>
    <w:rsid w:val="00064FBD"/>
    <w:rsid w:val="00077B5C"/>
    <w:rsid w:val="000814C4"/>
    <w:rsid w:val="00096AF7"/>
    <w:rsid w:val="000C3B0F"/>
    <w:rsid w:val="000D6318"/>
    <w:rsid w:val="000F0BC8"/>
    <w:rsid w:val="00105FFA"/>
    <w:rsid w:val="00107E6D"/>
    <w:rsid w:val="0011194C"/>
    <w:rsid w:val="00113BA9"/>
    <w:rsid w:val="00117F0F"/>
    <w:rsid w:val="00144D2A"/>
    <w:rsid w:val="00180519"/>
    <w:rsid w:val="00192D8D"/>
    <w:rsid w:val="001C4003"/>
    <w:rsid w:val="002265FF"/>
    <w:rsid w:val="00227F7A"/>
    <w:rsid w:val="002E0BE1"/>
    <w:rsid w:val="00307A6A"/>
    <w:rsid w:val="00307C40"/>
    <w:rsid w:val="00320433"/>
    <w:rsid w:val="00347EF1"/>
    <w:rsid w:val="0036743F"/>
    <w:rsid w:val="003A1C04"/>
    <w:rsid w:val="00417775"/>
    <w:rsid w:val="0043125D"/>
    <w:rsid w:val="0043502B"/>
    <w:rsid w:val="004C088B"/>
    <w:rsid w:val="004C4BDF"/>
    <w:rsid w:val="004D1187"/>
    <w:rsid w:val="004E6E3C"/>
    <w:rsid w:val="005268F6"/>
    <w:rsid w:val="00547DB7"/>
    <w:rsid w:val="005A2CF4"/>
    <w:rsid w:val="005C06FD"/>
    <w:rsid w:val="005E7BE7"/>
    <w:rsid w:val="005F6651"/>
    <w:rsid w:val="00622A11"/>
    <w:rsid w:val="00622BAA"/>
    <w:rsid w:val="00625E09"/>
    <w:rsid w:val="00630DC7"/>
    <w:rsid w:val="00647B9F"/>
    <w:rsid w:val="006631DC"/>
    <w:rsid w:val="00671BD5"/>
    <w:rsid w:val="006805C1"/>
    <w:rsid w:val="006916AC"/>
    <w:rsid w:val="00694556"/>
    <w:rsid w:val="006E1A53"/>
    <w:rsid w:val="006F5F0C"/>
    <w:rsid w:val="00704EDA"/>
    <w:rsid w:val="007B3B55"/>
    <w:rsid w:val="007E6115"/>
    <w:rsid w:val="007F4609"/>
    <w:rsid w:val="00820005"/>
    <w:rsid w:val="00896889"/>
    <w:rsid w:val="008B2A4D"/>
    <w:rsid w:val="008C5714"/>
    <w:rsid w:val="008D164D"/>
    <w:rsid w:val="00903896"/>
    <w:rsid w:val="00906F3D"/>
    <w:rsid w:val="00912A1E"/>
    <w:rsid w:val="00913C7E"/>
    <w:rsid w:val="00963B26"/>
    <w:rsid w:val="009C3A80"/>
    <w:rsid w:val="009E53CF"/>
    <w:rsid w:val="00A02BEE"/>
    <w:rsid w:val="00A338E7"/>
    <w:rsid w:val="00A80265"/>
    <w:rsid w:val="00A94B64"/>
    <w:rsid w:val="00AC3B7B"/>
    <w:rsid w:val="00AC5209"/>
    <w:rsid w:val="00AF68D0"/>
    <w:rsid w:val="00B3500C"/>
    <w:rsid w:val="00B80CBD"/>
    <w:rsid w:val="00B86096"/>
    <w:rsid w:val="00BE2859"/>
    <w:rsid w:val="00BF1908"/>
    <w:rsid w:val="00C0152C"/>
    <w:rsid w:val="00C22D93"/>
    <w:rsid w:val="00C34482"/>
    <w:rsid w:val="00C46CC5"/>
    <w:rsid w:val="00C706D3"/>
    <w:rsid w:val="00D01548"/>
    <w:rsid w:val="00D33B86"/>
    <w:rsid w:val="00D53924"/>
    <w:rsid w:val="00D55D0C"/>
    <w:rsid w:val="00D56E7B"/>
    <w:rsid w:val="00D72E8B"/>
    <w:rsid w:val="00D96D8C"/>
    <w:rsid w:val="00DA6649"/>
    <w:rsid w:val="00DE0CE3"/>
    <w:rsid w:val="00E051A4"/>
    <w:rsid w:val="00E54642"/>
    <w:rsid w:val="00E7662E"/>
    <w:rsid w:val="00EA7C3A"/>
    <w:rsid w:val="00EC37E9"/>
    <w:rsid w:val="00F84B6D"/>
    <w:rsid w:val="00FD456D"/>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995A588-A586-458A-A1EB-50415D1A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417775"/>
    <w:rPr>
      <w:color w:val="808080"/>
    </w:rPr>
  </w:style>
  <w:style w:type="paragraph" w:styleId="ad">
    <w:name w:val="List Paragraph"/>
    <w:basedOn w:val="a"/>
    <w:uiPriority w:val="34"/>
    <w:qFormat/>
    <w:rsid w:val="00A02BEE"/>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A02BEE"/>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styleId="Hyperlink">
    <w:name w:val="Hyperlink"/>
    <w:basedOn w:val="a0"/>
    <w:semiHidden/>
    <w:unhideWhenUsed/>
    <w:rsid w:val="00A02B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8653">
      <w:bodyDiv w:val="1"/>
      <w:marLeft w:val="0"/>
      <w:marRight w:val="0"/>
      <w:marTop w:val="0"/>
      <w:marBottom w:val="0"/>
      <w:divBdr>
        <w:top w:val="none" w:sz="0" w:space="0" w:color="auto"/>
        <w:left w:val="none" w:sz="0" w:space="0" w:color="auto"/>
        <w:bottom w:val="none" w:sz="0" w:space="0" w:color="auto"/>
        <w:right w:val="none" w:sz="0" w:space="0" w:color="auto"/>
      </w:divBdr>
    </w:div>
    <w:div w:id="854807766">
      <w:bodyDiv w:val="1"/>
      <w:marLeft w:val="0"/>
      <w:marRight w:val="0"/>
      <w:marTop w:val="0"/>
      <w:marBottom w:val="0"/>
      <w:divBdr>
        <w:top w:val="none" w:sz="0" w:space="0" w:color="auto"/>
        <w:left w:val="none" w:sz="0" w:space="0" w:color="auto"/>
        <w:bottom w:val="none" w:sz="0" w:space="0" w:color="auto"/>
        <w:right w:val="none" w:sz="0" w:space="0" w:color="auto"/>
      </w:divBdr>
    </w:div>
    <w:div w:id="114131398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9793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nevo.co.il/law/98460/1.2" TargetMode="Externa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nevo.co.il/law/98460/3.a"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גאנם עלא אלדין</FullName>
        <FirstName>גאנם</FirstName>
        <LastName>עלא אלדין</LastName>
        <PartyPropertyName/>
        <AuthenticationTypeAndNumber>מ.ר. 28899</AuthenticationTypeAndNumber>
        <RepresentatedOrRepresentativesNames>גואד גדעון</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262133066</CasePartyID>
        <PartyTypeID>2</PartyTypeID>
        <ActivityStatusID>1</ActivityStatusID>
        <PartyAliasID>21</PartyAliasID>
        <PartyAliasName>בא כוח נתבעים</PartyAliasName>
        <LegalEntityID>386920</LegalEntityID>
        <CaseLegalEntityID>126494690</CaseLegalEntityID>
        <AuthenticationTypeID>4</AuthenticationTypeID>
        <AuthenticationTypeName>מ.ר.</AuthenticationTypeName>
        <LegalEntityNumber>28899</LegalEntityNumber>
        <IsMainPartyType>true</IsMainPartyType>
        <CaseDisplayIdentifier>14369-10-23</CaseDisplayIdentifier>
        <CaseTypeID>15</CaseTypeID>
        <CaseTypeName>תיק משפחה (תמ"ש)</CaseTypeName>
        <CaseName>גדעון ואח' נ' גדעון</CaseName>
        <FullAddress>7000 נצרת ת.ד 10456</FullAddress>
        <EmailAddress>ghanemala@yahoo.com</EmailAddress>
        <MotionID>0</MotionID>
        <CasePleaID>0</CasePleaID>
        <LinkedCaseID>0</LinkedCaseID>
        <PartyID>2</PartyID>
        <CasePartyCategoryID>2</CasePartyCategoryID>
        <LegalEntityAddressID>429902</LegalEntityAddressID>
        <LegalEntityEmailAddressID>67910258</LegalEntityEmailAddressID>
        <PleaTypeID>4</PleaTypeID>
        <LawyerOfficeName>משרד עו"ד: גאנם עלא אלדין</LawyerOfficeName>
        <LawyerOfficeID>427564</LawyerOfficeID>
        <GroupPartyAlias/>
        <IsConverted>false</IsConverted>
        <LegalEntityNameID>7904</LegalEntityNameID>
        <RepresentatedNamesOfAssistant/>
        <LegalEntityTypeID>4</LegalEntityTypeID>
        <IsVerdictExists>false</IsVerdictExists>
        <IsAsirAzir>false</IsAsirAzir>
        <MainAndSecSpec/>
        <IsPublicationProhibited>false</IsPublicationProhibited>
        <PublicationProhibitedFullName>גאנם עלא אלדין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סוניה גדעון</FullName>
        <FirstName>סוניה</FirstName>
        <LastName>ג'דעון</LastName>
        <PartyPropertyName/>
        <AuthenticationTypeAndNumber>ת"ז 025892696</AuthenticationTypeAndNumber>
        <RepresentatedOrRepresentativesNames>פאדיה אנדראוס</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261333339</CasePartyID>
        <PartyTypeID>1</PartyTypeID>
        <ActivityStatusID>1</ActivityStatusID>
        <PartyAliasID>1</PartyAliasID>
        <PartyAliasName>תובע</PartyAliasName>
        <OrdinalNumber>1</OrdinalNumber>
        <LegalEntityID>57428279</LegalEntityID>
        <CaseLegalEntityID>126194162</CaseLegalEntityID>
        <AuthenticationTypeID>1</AuthenticationTypeID>
        <AuthenticationTypeName>ת"ז</AuthenticationTypeName>
        <LegalEntityNumber>025892696</LegalEntityNumber>
        <IsMainPartyType>true</IsMainPartyType>
        <CaseDisplayIdentifier>14369-10-23</CaseDisplayIdentifier>
        <CaseTypeID>15</CaseTypeID>
        <CaseTypeName>תיק משפחה (תמ"ש)</CaseTypeName>
        <CaseName>גדעון ואח' נ' גדעון</CaseName>
        <FullAddress/>
        <MotionID>0</MotionID>
        <CasePleaID>0</CasePleaID>
        <FatherName>חנא</FatherName>
        <LinkedCaseID>0</LinkedCaseID>
        <PartyID>1</PartyID>
        <CasePartyCategoryID>2</CasePartyCategoryID>
        <PleaTypeID>4</PleaTypeID>
        <GroupPartyAlias>תובעים</GroupPartyAlias>
        <IsConverted>false</IsConverted>
        <LegalEntityRegisteredNameID>10513272</LegalEntityRegisteredNameID>
        <LegalEntityNameID>95563916</LegalEntityNameID>
        <RepresentatedNamesOfAssistant/>
        <LegalEntityTypeID>1</LegalEntityTypeID>
        <IsVerdictExists>false</IsVerdictExists>
        <IsAsirAzir>false</IsAsirAzir>
        <MainAndSecSpec/>
        <IsPublicationProhibited>false</IsPublicationProhibited>
        <PublicationProhibitedFullName>סוניה גדעון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פאדיה אנדראוס</FullName>
        <FirstName>פאדיה</FirstName>
        <LastName>אנדראוס</LastName>
        <PartyPropertyName/>
        <AuthenticationTypeAndNumber>מ.ר. 50049</AuthenticationTypeAndNumber>
        <RepresentatedOrRepresentativesNames>סוניה גדעון, נאנסי גדעון מטר</RepresentatedOrRepresentativesNames>
        <RepresentatedOrRepresentativesCount>2</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261333340</CasePartyID>
        <PartyTypeID>2</PartyTypeID>
        <ActivityStatusID>1</ActivityStatusID>
        <PartyAliasID>20</PartyAliasID>
        <PartyAliasName>בא כוח תובעים</PartyAliasName>
        <OrdinalNumber>1</OrdinalNumber>
        <LegalEntityID>15785561</LegalEntityID>
        <CaseLegalEntityID>126194163</CaseLegalEntityID>
        <AuthenticationTypeID>4</AuthenticationTypeID>
        <AuthenticationTypeName>מ.ר.</AuthenticationTypeName>
        <LegalEntityNumber>50049</LegalEntityNumber>
        <IsMainPartyType>true</IsMainPartyType>
        <CaseDisplayIdentifier>14369-10-23</CaseDisplayIdentifier>
        <CaseTypeID>15</CaseTypeID>
        <CaseTypeName>תיק משפחה (תמ"ש)</CaseTypeName>
        <CaseName>גדעון ואח' נ' גדעון</CaseName>
        <FullAddress>כפר יאסיף כפר יאסיף ת.ד 663</FullAddress>
        <EmailAddress>akfadia.law@gmail.com</EmailAddress>
        <MotionID>0</MotionID>
        <CasePleaID>0</CasePleaID>
        <LinkedCaseID>0</LinkedCaseID>
        <PartyID>1</PartyID>
        <CasePartyCategoryID>2</CasePartyCategoryID>
        <LegalEntityAddressID>82800339</LegalEntityAddressID>
        <LegalEntityEmailAddressID>68027720</LegalEntityEmailAddressID>
        <PleaTypeID>4</PleaTypeID>
        <LawyerOfficeName>משרד עו"ד פאדיה אנדראוס</LawyerOfficeName>
        <LawyerOfficeID>15785562</LawyerOfficeID>
        <GroupPartyAlias/>
        <IsConverted>false</IsConverted>
        <LegalEntityNameID>15578470</LegalEntityNameID>
        <RepresentatedNamesOfAssistant/>
        <LegalEntityTypeID>4</LegalEntityTypeID>
        <IsVerdictExists>false</IsVerdictExists>
        <IsAsirAzir>false</IsAsirAzir>
        <MainAndSecSpec/>
        <IsPublicationProhibited>false</IsPublicationProhibited>
        <PublicationProhibitedFullName>פאדיה אנדראוס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גואד גדעון</FullName>
        <FirstName>גואד</FirstName>
        <LastName>גדעון</LastName>
        <PartyPropertyName/>
        <AuthenticationTypeAndNumber>ת"ז 026258210</AuthenticationTypeAndNumber>
        <RepresentatedOrRepresentativesNames>גאנם עלא אלדין</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261333341</CasePartyID>
        <PartyTypeID>1</PartyTypeID>
        <ActivityStatusID>1</ActivityStatusID>
        <PartyAliasID>2</PartyAliasID>
        <PartyAliasName>נתבע</PartyAliasName>
        <OrdinalNumber>1</OrdinalNumber>
        <LegalEntityID>15787644</LegalEntityID>
        <CaseLegalEntityID>126194164</CaseLegalEntityID>
        <AuthenticationTypeID>1</AuthenticationTypeID>
        <AuthenticationTypeName>ת"ז</AuthenticationTypeName>
        <LegalEntityNumber>026258210</LegalEntityNumber>
        <IsMainPartyType>true</IsMainPartyType>
        <CaseDisplayIdentifier>14369-10-23</CaseDisplayIdentifier>
        <CaseTypeID>15</CaseTypeID>
        <CaseTypeName>תיק משפחה (תמ"ש)</CaseTypeName>
        <CaseName>גדעון ואח' נ' גדעון</CaseName>
        <FullAddress>אניס כרדוש נצרת </FullAddress>
        <MotionID>0</MotionID>
        <CasePleaID>0</CasePleaID>
        <FatherName>מוניר</FatherName>
        <LinkedCaseID>0</LinkedCaseID>
        <PartyID>2</PartyID>
        <CasePartyCategoryID>2</CasePartyCategoryID>
        <LegalEntityAddressID>88482640</LegalEntityAddressID>
        <PleaTypeID>4</PleaTypeID>
        <GroupPartyAlias>נתבעים</GroupPartyAlias>
        <IsConverted>false</IsConverted>
        <LegalEntityNameID>95563917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גואד גדעון</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נאנסי גדעון מטר</FullName>
        <FirstName>נאנסי</FirstName>
        <LastName>גדעון מטר</LastName>
        <PartyPropertyName/>
        <AuthenticationTypeAndNumber>ת"ז 208608638</AuthenticationTypeAndNumber>
        <RepresentatedOrRepresentativesNames>פאדיה אנדראוס</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261333338</CasePartyID>
        <PartyTypeID>1</PartyTypeID>
        <ActivityStatusID>1</ActivityStatusID>
        <PartyAliasID>1</PartyAliasID>
        <PartyAliasName>תובע</PartyAliasName>
        <OrdinalNumber>2</OrdinalNumber>
        <LegalEntityID>76424953</LegalEntityID>
        <CaseLegalEntityID>126194161</CaseLegalEntityID>
        <AuthenticationTypeID>1</AuthenticationTypeID>
        <AuthenticationTypeName>ת"ז</AuthenticationTypeName>
        <LegalEntityNumber>208608638</LegalEntityNumber>
        <IsMainPartyType>true</IsMainPartyType>
        <CaseDisplayIdentifier>14369-10-23</CaseDisplayIdentifier>
        <CaseTypeID>15</CaseTypeID>
        <CaseTypeName>תיק משפחה (תמ"ש)</CaseTypeName>
        <CaseName>גדעון ואח' נ' גדעון</CaseName>
        <FullAddress/>
        <MotionID>0</MotionID>
        <CasePleaID>0</CasePleaID>
        <FatherName>ג'יהאד</FatherName>
        <LinkedCaseID>0</LinkedCaseID>
        <PartyID>1</PartyID>
        <CasePartyCategoryID>2</CasePartyCategoryID>
        <GrandfatherName/>
        <DrivingLicenseNumber>9984227</DrivingLicenseNumber>
        <PleaTypeID>4</PleaTypeID>
        <GroupPartyAlias>תובעים</GroupPartyAlias>
        <IsConverted>false</IsConverted>
        <LegalEntityNameID>95563915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נאנסי גדעון מטר</PublicationProhibitedFullName>
      </CaseParties>
    </CasePartiesSelectionDS>
    <DecisionName>החלטה  שניתנה ע"י  שושנה ברגר</DecisionName>
    <CourtDisplayName>בית משפט לענייני משפחה בחיפה</CourtDisplayName>
    <IsCaseJudgePanel>false</IsCaseJudgePanel>
    <DecisionSignatureDate>2024-09-04T15:12:30.7123407+03:00</DecisionSignatureDate>
    <OpenCaseDate>2023-10-10T10:35:00+03:00</OpenCaseDate>
    <CaseFeeSum>0.000</CaseFeeSum>
    <DecisionTypeID>1</DecisionTypeID>
    <DecisionSignatureUserName>שושנה ברגר</DecisionSignatureUserName>
    <DecisionSignatureDateHebrew>2024-09-04T15:12:30.7123407+03:00</DecisionSignatureDateHebrew>
    <DecisionWriterID>057920175@GOV.IL</DecisionWriterID>
    <CourtAddress>רח' פלי"ם 12 היכל המשפט, חיפה 33095</CourtAddress>
    <IsAutoTextInCaseExist>false</IsAutoTextInCaseExist>
    <DecisionSignatureRoleName>שופט</DecisionSignatureRoleName>
    <DecisionSignatureUserTitleName>שופטת בכירה</DecisionSignatureUserTitleName>
    <CaseName>גדעון ואח' נ' גדעון</CaseName>
    <DecisionNumberInCase>6</DecisionNumberInCase>
  </dt_Decision>
  <dt_DecisionCase>
    <DecisionID>0</DecisionID>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גאנם עלא אלדין</FullName>
        <FirstName>גאנם</FirstName>
        <LastName>עלא אלדין</LastName>
        <PartyPropertyName/>
        <AuthenticationTypeAndNumber>מ.ר. 28899</AuthenticationTypeAndNumber>
        <RepresentatedOrRepresentativesNames>גואד גדעון</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262133066</CasePartyID>
        <PartyTypeID>2</PartyTypeID>
        <ActivityStatusID>1</ActivityStatusID>
        <PartyAliasID>21</PartyAliasID>
        <PartyAliasName>בא כוח נתבעים</PartyAliasName>
        <LegalEntityID>386920</LegalEntityID>
        <CaseLegalEntityID>126494690</CaseLegalEntityID>
        <AuthenticationTypeID>4</AuthenticationTypeID>
        <AuthenticationTypeName>מ.ר.</AuthenticationTypeName>
        <LegalEntityNumber>28899</LegalEntityNumber>
        <IsMainPartyType>true</IsMainPartyType>
        <CaseDisplayIdentifier>14369-10-23</CaseDisplayIdentifier>
        <CaseTypeID>15</CaseTypeID>
        <CaseTypeName>תיק משפחה (תמ"ש)</CaseTypeName>
        <CaseName>גדעון ואח' נ' גדעון</CaseName>
        <FullAddress>7000 נצרת ת.ד 10456</FullAddress>
        <EmailAddress>ghanemala@yahoo.com</EmailAddress>
        <MotionID>0</MotionID>
        <CasePleaID>0</CasePleaID>
        <LinkedCaseID>0</LinkedCaseID>
        <PartyID>2</PartyID>
        <CasePartyCategoryID>2</CasePartyCategoryID>
        <LegalEntityAddressID>429902</LegalEntityAddressID>
        <LegalEntityEmailAddressID>67910258</LegalEntityEmailAddressID>
        <PleaTypeID>4</PleaTypeID>
        <LawyerOfficeName>משרד עו"ד: גאנם עלא אלדין</LawyerOfficeName>
        <LawyerOfficeID>427564</LawyerOfficeID>
        <GroupPartyAlias/>
        <IsConverted>false</IsConverted>
        <LegalEntityNameID>7904</LegalEntityNameID>
        <RepresentatedNamesOfAssistant/>
        <LegalEntityTypeID>4</LegalEntityTypeID>
        <IsVerdictExists>false</IsVerdictExists>
        <IsAsirAzir>false</IsAsirAzir>
        <MainAndSecSpec/>
        <IsPublicationProhibited>false</IsPublicationProhibited>
        <PublicationProhibitedFullName>גאנם עלא אלדין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סוניה גדעון</FullName>
        <FirstName>סוניה</FirstName>
        <LastName>ג'דעון</LastName>
        <PartyPropertyName/>
        <AuthenticationTypeAndNumber>ת"ז 025892696</AuthenticationTypeAndNumber>
        <RepresentatedOrRepresentativesNames>פאדיה אנדראוס</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261333339</CasePartyID>
        <PartyTypeID>1</PartyTypeID>
        <ActivityStatusID>1</ActivityStatusID>
        <PartyAliasID>1</PartyAliasID>
        <PartyAliasName>תובע</PartyAliasName>
        <OrdinalNumber>1</OrdinalNumber>
        <LegalEntityID>57428279</LegalEntityID>
        <CaseLegalEntityID>126194162</CaseLegalEntityID>
        <AuthenticationTypeID>1</AuthenticationTypeID>
        <AuthenticationTypeName>ת"ז</AuthenticationTypeName>
        <LegalEntityNumber>025892696</LegalEntityNumber>
        <IsMainPartyType>true</IsMainPartyType>
        <CaseDisplayIdentifier>14369-10-23</CaseDisplayIdentifier>
        <CaseTypeID>15</CaseTypeID>
        <CaseTypeName>תיק משפחה (תמ"ש)</CaseTypeName>
        <CaseName>גדעון ואח' נ' גדעון</CaseName>
        <FullAddress/>
        <MotionID>0</MotionID>
        <CasePleaID>0</CasePleaID>
        <FatherName>חנא</FatherName>
        <LinkedCaseID>0</LinkedCaseID>
        <PartyID>1</PartyID>
        <CasePartyCategoryID>2</CasePartyCategoryID>
        <PleaTypeID>4</PleaTypeID>
        <GroupPartyAlias>תובעים</GroupPartyAlias>
        <IsConverted>false</IsConverted>
        <LegalEntityRegisteredNameID>10513272</LegalEntityRegisteredNameID>
        <LegalEntityNameID>95563916</LegalEntityNameID>
        <RepresentatedNamesOfAssistant/>
        <LegalEntityTypeID>1</LegalEntityTypeID>
        <IsVerdictExists>false</IsVerdictExists>
        <IsAsirAzir>false</IsAsirAzir>
        <MainAndSecSpec/>
        <IsPublicationProhibited>false</IsPublicationProhibited>
        <PublicationProhibitedFullName>סוניה גדעון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פאדיה אנדראוס</FullName>
        <FirstName>פאדיה</FirstName>
        <LastName>אנדראוס</LastName>
        <PartyPropertyName/>
        <AuthenticationTypeAndNumber>מ.ר. 50049</AuthenticationTypeAndNumber>
        <RepresentatedOrRepresentativesNames>סוניה גדעון, נאנסי גדעון מטר</RepresentatedOrRepresentativesNames>
        <RepresentatedOrRepresentativesCount>2</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261333340</CasePartyID>
        <PartyTypeID>2</PartyTypeID>
        <ActivityStatusID>1</ActivityStatusID>
        <PartyAliasID>20</PartyAliasID>
        <PartyAliasName>בא כוח תובעים</PartyAliasName>
        <OrdinalNumber>1</OrdinalNumber>
        <LegalEntityID>15785561</LegalEntityID>
        <CaseLegalEntityID>126194163</CaseLegalEntityID>
        <AuthenticationTypeID>4</AuthenticationTypeID>
        <AuthenticationTypeName>מ.ר.</AuthenticationTypeName>
        <LegalEntityNumber>50049</LegalEntityNumber>
        <IsMainPartyType>true</IsMainPartyType>
        <CaseDisplayIdentifier>14369-10-23</CaseDisplayIdentifier>
        <CaseTypeID>15</CaseTypeID>
        <CaseTypeName>תיק משפחה (תמ"ש)</CaseTypeName>
        <CaseName>גדעון ואח' נ' גדעון</CaseName>
        <FullAddress>כפר יאסיף כפר יאסיף ת.ד 663</FullAddress>
        <EmailAddress>akfadia.law@gmail.com</EmailAddress>
        <MotionID>0</MotionID>
        <CasePleaID>0</CasePleaID>
        <LinkedCaseID>0</LinkedCaseID>
        <PartyID>1</PartyID>
        <CasePartyCategoryID>2</CasePartyCategoryID>
        <LegalEntityAddressID>82800339</LegalEntityAddressID>
        <LegalEntityEmailAddressID>68027720</LegalEntityEmailAddressID>
        <PleaTypeID>4</PleaTypeID>
        <LawyerOfficeName>משרד עו"ד פאדיה אנדראוס</LawyerOfficeName>
        <LawyerOfficeID>15785562</LawyerOfficeID>
        <GroupPartyAlias/>
        <IsConverted>false</IsConverted>
        <LegalEntityNameID>15578470</LegalEntityNameID>
        <RepresentatedNamesOfAssistant/>
        <LegalEntityTypeID>4</LegalEntityTypeID>
        <IsVerdictExists>false</IsVerdictExists>
        <IsAsirAzir>false</IsAsirAzir>
        <MainAndSecSpec/>
        <IsPublicationProhibited>false</IsPublicationProhibited>
        <PublicationProhibitedFullName>פאדיה אנדראוס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גואד גדעון</FullName>
        <FirstName>גואד</FirstName>
        <LastName>גדעון</LastName>
        <PartyPropertyName/>
        <AuthenticationTypeAndNumber>ת"ז 026258210</AuthenticationTypeAndNumber>
        <RepresentatedOrRepresentativesNames>גאנם עלא אלדין</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261333341</CasePartyID>
        <PartyTypeID>1</PartyTypeID>
        <ActivityStatusID>1</ActivityStatusID>
        <PartyAliasID>2</PartyAliasID>
        <PartyAliasName>נתבע</PartyAliasName>
        <OrdinalNumber>1</OrdinalNumber>
        <LegalEntityID>15787644</LegalEntityID>
        <CaseLegalEntityID>126194164</CaseLegalEntityID>
        <AuthenticationTypeID>1</AuthenticationTypeID>
        <AuthenticationTypeName>ת"ז</AuthenticationTypeName>
        <LegalEntityNumber>026258210</LegalEntityNumber>
        <IsMainPartyType>true</IsMainPartyType>
        <CaseDisplayIdentifier>14369-10-23</CaseDisplayIdentifier>
        <CaseTypeID>15</CaseTypeID>
        <CaseTypeName>תיק משפחה (תמ"ש)</CaseTypeName>
        <CaseName>גדעון ואח' נ' גדעון</CaseName>
        <FullAddress>אניס כרדוש נצרת </FullAddress>
        <MotionID>0</MotionID>
        <CasePleaID>0</CasePleaID>
        <FatherName>מוניר</FatherName>
        <LinkedCaseID>0</LinkedCaseID>
        <PartyID>2</PartyID>
        <CasePartyCategoryID>2</CasePartyCategoryID>
        <LegalEntityAddressID>88482640</LegalEntityAddressID>
        <PleaTypeID>4</PleaTypeID>
        <GroupPartyAlias>נתבעים</GroupPartyAlias>
        <IsConverted>false</IsConverted>
        <LegalEntityNameID>95563917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גואד גדעון</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נאנסי גדעון מטר</FullName>
        <FirstName>נאנסי</FirstName>
        <LastName>גדעון מטר</LastName>
        <PartyPropertyName/>
        <AuthenticationTypeAndNumber>ת"ז 208608638</AuthenticationTypeAndNumber>
        <RepresentatedOrRepresentativesNames>פאדיה אנדראוס</RepresentatedOrRepresentativesNames>
        <RepresentatedOrRepresentativesCount>1</RepresentatedOrRepresentativesCount>
        <InvitedBy/>
        <CaseID>80656460</CaseID>
        <CaseJudicialPersonPresentationDS>
          <CaseJudicalPersonActive>
            <CaseID>80656460</CaseID>
            <JudicialPersonID>057920175@GOV.IL</JudicialPersonID>
            <JudicialPersonTypeID>1</JudicialPersonTypeID>
            <JudicialTypeID>1</JudicialTypeID>
            <IsChairman>false</IsChairman>
            <TreatmentStartDate>2023-10-10T14:36:30.247+03:00</TreatmentStartDate>
            <TreatmentFinishDate>9999-12-31T23:59:59.997+02:00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261333338</CasePartyID>
        <PartyTypeID>1</PartyTypeID>
        <ActivityStatusID>1</ActivityStatusID>
        <PartyAliasID>1</PartyAliasID>
        <PartyAliasName>תובע</PartyAliasName>
        <OrdinalNumber>2</OrdinalNumber>
        <LegalEntityID>76424953</LegalEntityID>
        <CaseLegalEntityID>126194161</CaseLegalEntityID>
        <AuthenticationTypeID>1</AuthenticationTypeID>
        <AuthenticationTypeName>ת"ז</AuthenticationTypeName>
        <LegalEntityNumber>208608638</LegalEntityNumber>
        <IsMainPartyType>true</IsMainPartyType>
        <CaseDisplayIdentifier>14369-10-23</CaseDisplayIdentifier>
        <CaseTypeID>15</CaseTypeID>
        <CaseTypeName>תיק משפחה (תמ"ש)</CaseTypeName>
        <CaseName>גדעון ואח' נ' גדעון</CaseName>
        <FullAddress/>
        <MotionID>0</MotionID>
        <CasePleaID>0</CasePleaID>
        <FatherName>ג'יהאד</FatherName>
        <LinkedCaseID>0</LinkedCaseID>
        <PartyID>1</PartyID>
        <CasePartyCategoryID>2</CasePartyCategoryID>
        <GrandfatherName/>
        <DrivingLicenseNumber>9984227</DrivingLicenseNumber>
        <PleaTypeID>4</PleaTypeID>
        <GroupPartyAlias>תובעים</GroupPartyAlias>
        <IsConverted>false</IsConverted>
        <LegalEntityNameID>95563915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נאנסי גדעון מטר</PublicationProhibitedFullName>
      </CaseParties>
    </CasePartiesSelectionDS>
    <CaseName>גדעון ואח' נ' גדעון</CaseName>
    <CaseDisplayIdentifier>14369-10-23</CaseDisplayIdentifier>
    <CaseInterestID>158</CaseInterestID>
    <CaseTypeShortName>תמ"ש</CaseTypeShortName>
  </dt_DecisionCase>
  <dt_DecisionJudgePanel>
    <JudgeID>057920175@GOV.IL</JudgeID>
    <DisplayName>שושנה ברגר</DisplayName>
    <RoleName>שופט</RoleName>
    <UserTitleName>שופטת בכירה</UserTitleName>
  </dt_DecisionJudgePanel>
  <dt_LegalEntityDetails>
    <Fax>04-6084331</Fax>
    <Phone>04-6084331</Phone>
    <AddressDesc>ת.ד 10456</AddressDesc>
    <PartyID>2</PartyID>
    <PartyTypeID>2</PartyTypeID>
    <DecisionID>0</DecisionID>
    <StreetName>7000  </StreetName>
    <ZipCode>16000</ZipCode>
    <CityName>נצרת</CityName>
    <FullName>גאנם עלא אלדין</FullName>
    <Email>ghanemala@yahoo.com</Email>
    <IsPublicationProhibited>false</IsPublicationProhibited>
  </dt_LegalEntityDetails>
  <dt_LegalEntityDetails>
    <PartyID>1</PartyID>
    <PartyTypeID>1</PartyTypeID>
    <DecisionID>0</DecisionID>
    <FullName>סוניה גדעון</FullName>
    <IsPublicationProhibited>false</IsPublicationProhibited>
  </dt_LegalEntityDetails>
  <dt_LegalEntityDetails>
    <Fax>04-9965930</Fax>
    <AddressDesc>ת.ד 663</AddressDesc>
    <PartyID>1</PartyID>
    <PartyTypeID>2</PartyTypeID>
    <DecisionID>0</DecisionID>
    <StreetName>כפר יאסיף</StreetName>
    <ZipCode>2490800</ZipCode>
    <CityName>כפר יאסיף</CityName>
    <FullName>פאדיה אנדראוס</FullName>
    <Email>akfadia.law@gmail.com</Email>
    <IsPublicationProhibited>false</IsPublicationProhibited>
  </dt_LegalEntityDetails>
  <dt_LegalEntityDetails>
    <PartyID>2</PartyID>
    <PartyTypeID>1</PartyTypeID>
    <DecisionID>0</DecisionID>
    <StreetName>אניס כרדוש </StreetName>
    <CityName>נצרת</CityName>
    <FullName>גואד גדעון</FullName>
    <IsPublicationProhibited>false</IsPublicationProhibited>
  </dt_LegalEntityDetails>
  <dt_LegalEntityDetails>
    <PartyID>1</PartyID>
    <PartyTypeID>1</PartyTypeID>
    <DecisionID>0</DecisionID>
    <FullName>נאנסי גדעון מטר</FullName>
    <IsPublicationProhibited>false</IsPublicationProhibited>
  </dt_LegalEntityDetails>
  <dt_CaseJudicalPersonActive>
    <CaseJudicalPerson>שופטת בכירה שושנה ברגר</CaseJudicalPerson>
  </dt_CaseJudicalPersonActive>
  <dt_Sitting>
    <PreviousMeetingDate>2024-05-26T11:00:00+03:00</PreviousMeetingDate>
    <PreviousSittingTypeID>1</PreviousSittingTypeID>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ecisionTemplateDS>
</file>

<file path=customXml/itemProps1.xml><?xml version="1.0" encoding="utf-8"?>
<ds:datastoreItem xmlns:ds="http://schemas.openxmlformats.org/officeDocument/2006/customXml" ds:itemID="{1706504A-3970-4594-A252-D41C8E344B0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2085</Words>
  <Characters>10428</Characters>
  <Application>Microsoft Office Word</Application>
  <DocSecurity>4</DocSecurity>
  <Lines>86</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2024-09-16T09:41:00Z</dcterms:created>
  <dcterms:modified xsi:type="dcterms:W3CDTF">2024-09-16T09:41:00Z</dcterms:modified>
</cp:coreProperties>
</file>